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ECC944" w14:textId="5AE25E98" w:rsidR="00C56348" w:rsidRPr="00E8499C" w:rsidRDefault="00C56348" w:rsidP="00C56348">
      <w:pPr>
        <w:pStyle w:val="Title"/>
        <w:rPr>
          <w:b/>
          <w:szCs w:val="24"/>
        </w:rPr>
      </w:pPr>
      <w:r w:rsidRPr="00E8499C">
        <w:rPr>
          <w:b/>
          <w:szCs w:val="24"/>
        </w:rPr>
        <w:t>PROJECT NO. 51</w:t>
      </w:r>
      <w:r w:rsidR="00BF4FEF" w:rsidRPr="00E8499C">
        <w:rPr>
          <w:b/>
          <w:szCs w:val="24"/>
        </w:rPr>
        <w:t>871</w:t>
      </w:r>
    </w:p>
    <w:p w14:paraId="2DF1E223" w14:textId="77777777" w:rsidR="00C56348" w:rsidRPr="00E8499C" w:rsidRDefault="00C56348" w:rsidP="00C56348">
      <w:pPr>
        <w:pStyle w:val="Title"/>
        <w:rPr>
          <w:b/>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9"/>
        <w:gridCol w:w="359"/>
        <w:gridCol w:w="4242"/>
      </w:tblGrid>
      <w:tr w:rsidR="00C56348" w:rsidRPr="00E8499C" w14:paraId="2AFC0169" w14:textId="77777777" w:rsidTr="003341B6">
        <w:tc>
          <w:tcPr>
            <w:tcW w:w="4878" w:type="dxa"/>
          </w:tcPr>
          <w:p w14:paraId="337D278A" w14:textId="4E2AA6D5" w:rsidR="00C56348" w:rsidRPr="00E8499C" w:rsidRDefault="00390DBD" w:rsidP="003341B6">
            <w:pPr>
              <w:pStyle w:val="Title"/>
              <w:jc w:val="left"/>
              <w:rPr>
                <w:b/>
                <w:szCs w:val="24"/>
              </w:rPr>
            </w:pPr>
            <w:r w:rsidRPr="00E8499C">
              <w:rPr>
                <w:b/>
                <w:szCs w:val="24"/>
              </w:rPr>
              <w:t>REVIEW OF THE ERCOT SCARCITY PRICING MECHANISM</w:t>
            </w:r>
          </w:p>
        </w:tc>
        <w:tc>
          <w:tcPr>
            <w:tcW w:w="360" w:type="dxa"/>
          </w:tcPr>
          <w:p w14:paraId="6362B644" w14:textId="77777777" w:rsidR="00C56348" w:rsidRPr="00E8499C" w:rsidRDefault="00C56348" w:rsidP="003341B6">
            <w:pPr>
              <w:pStyle w:val="Title"/>
              <w:rPr>
                <w:b/>
                <w:szCs w:val="24"/>
              </w:rPr>
            </w:pPr>
            <w:r w:rsidRPr="00E8499C">
              <w:rPr>
                <w:b/>
                <w:szCs w:val="24"/>
              </w:rPr>
              <w:t>§</w:t>
            </w:r>
          </w:p>
          <w:p w14:paraId="5CF74670" w14:textId="77777777" w:rsidR="00C56348" w:rsidRPr="00E8499C" w:rsidRDefault="00C56348" w:rsidP="003341B6">
            <w:pPr>
              <w:pStyle w:val="Title"/>
              <w:rPr>
                <w:b/>
                <w:szCs w:val="24"/>
              </w:rPr>
            </w:pPr>
            <w:r w:rsidRPr="00E8499C">
              <w:rPr>
                <w:b/>
                <w:szCs w:val="24"/>
              </w:rPr>
              <w:t>§</w:t>
            </w:r>
          </w:p>
          <w:p w14:paraId="15561A92" w14:textId="554F0548" w:rsidR="00C56348" w:rsidRPr="00E8499C" w:rsidRDefault="00C56348" w:rsidP="003341B6">
            <w:pPr>
              <w:pStyle w:val="Title"/>
              <w:rPr>
                <w:b/>
                <w:szCs w:val="24"/>
              </w:rPr>
            </w:pPr>
          </w:p>
        </w:tc>
        <w:tc>
          <w:tcPr>
            <w:tcW w:w="4338" w:type="dxa"/>
          </w:tcPr>
          <w:p w14:paraId="23460B63" w14:textId="77777777" w:rsidR="00C56348" w:rsidRPr="00E8499C" w:rsidRDefault="00C56348" w:rsidP="003341B6">
            <w:pPr>
              <w:pStyle w:val="Title"/>
              <w:ind w:right="-450"/>
              <w:rPr>
                <w:b/>
                <w:szCs w:val="24"/>
              </w:rPr>
            </w:pPr>
            <w:r w:rsidRPr="00E8499C">
              <w:rPr>
                <w:b/>
                <w:szCs w:val="24"/>
              </w:rPr>
              <w:t>PUBLIC UTILITY COMMISSION</w:t>
            </w:r>
          </w:p>
          <w:p w14:paraId="512F9F38" w14:textId="77777777" w:rsidR="00C56348" w:rsidRPr="00E8499C" w:rsidRDefault="00C56348" w:rsidP="003341B6">
            <w:pPr>
              <w:pStyle w:val="Title"/>
              <w:rPr>
                <w:b/>
                <w:szCs w:val="24"/>
              </w:rPr>
            </w:pPr>
            <w:r w:rsidRPr="00E8499C">
              <w:rPr>
                <w:b/>
                <w:szCs w:val="24"/>
              </w:rPr>
              <w:t>OF TEXAS</w:t>
            </w:r>
          </w:p>
        </w:tc>
      </w:tr>
    </w:tbl>
    <w:p w14:paraId="20CED95C" w14:textId="77777777" w:rsidR="00C56348" w:rsidRPr="00E8499C" w:rsidRDefault="00C56348" w:rsidP="00C56348">
      <w:pPr>
        <w:pStyle w:val="Caption"/>
        <w:ind w:right="-270"/>
        <w:jc w:val="left"/>
        <w:rPr>
          <w:szCs w:val="24"/>
        </w:rPr>
      </w:pPr>
    </w:p>
    <w:p w14:paraId="4A81738F" w14:textId="367D0742" w:rsidR="00510EC6" w:rsidRDefault="00C56348" w:rsidP="00BF4FEF">
      <w:pPr>
        <w:pStyle w:val="Caption"/>
        <w:ind w:right="-270"/>
        <w:rPr>
          <w:caps/>
          <w:szCs w:val="24"/>
          <w:u w:val="single"/>
        </w:rPr>
      </w:pPr>
      <w:r w:rsidRPr="00E8499C">
        <w:rPr>
          <w:caps/>
          <w:szCs w:val="24"/>
          <w:u w:val="single"/>
        </w:rPr>
        <w:t>NRG Energy</w:t>
      </w:r>
      <w:r w:rsidR="009B27C1">
        <w:rPr>
          <w:caps/>
          <w:szCs w:val="24"/>
          <w:u w:val="single"/>
        </w:rPr>
        <w:t>,</w:t>
      </w:r>
      <w:r w:rsidRPr="00E8499C">
        <w:rPr>
          <w:caps/>
          <w:szCs w:val="24"/>
          <w:u w:val="single"/>
        </w:rPr>
        <w:t xml:space="preserve"> Inc. </w:t>
      </w:r>
      <w:r w:rsidR="008A1F0F">
        <w:rPr>
          <w:caps/>
          <w:szCs w:val="24"/>
          <w:u w:val="single"/>
        </w:rPr>
        <w:t>REPLY COMMENTS CONCERNING</w:t>
      </w:r>
    </w:p>
    <w:p w14:paraId="45A7EA20" w14:textId="278E7F36" w:rsidR="00C56348" w:rsidRPr="00E8499C" w:rsidRDefault="008A1F0F" w:rsidP="00BF4FEF">
      <w:pPr>
        <w:pStyle w:val="Caption"/>
        <w:ind w:right="-270"/>
        <w:rPr>
          <w:caps/>
          <w:szCs w:val="24"/>
          <w:u w:val="single"/>
        </w:rPr>
      </w:pPr>
      <w:r>
        <w:rPr>
          <w:caps/>
          <w:szCs w:val="24"/>
          <w:u w:val="single"/>
        </w:rPr>
        <w:t xml:space="preserve">THE </w:t>
      </w:r>
      <w:r w:rsidR="00BF4FEF" w:rsidRPr="00E8499C">
        <w:rPr>
          <w:caps/>
          <w:szCs w:val="24"/>
          <w:u w:val="single"/>
        </w:rPr>
        <w:t>low system-wide offer cap</w:t>
      </w:r>
    </w:p>
    <w:p w14:paraId="55CDB52D" w14:textId="77777777" w:rsidR="00C56348" w:rsidRPr="00E8499C" w:rsidRDefault="00C56348" w:rsidP="00C56348">
      <w:pPr>
        <w:pStyle w:val="Caption"/>
        <w:ind w:right="-270"/>
        <w:rPr>
          <w:caps/>
          <w:szCs w:val="24"/>
          <w:u w:val="single"/>
        </w:rPr>
      </w:pPr>
    </w:p>
    <w:p w14:paraId="2F116255" w14:textId="5DD5CC2F" w:rsidR="00A6685A" w:rsidRPr="00E8499C" w:rsidRDefault="00A6685A" w:rsidP="00A6685A">
      <w:pPr>
        <w:pStyle w:val="ListParagraph"/>
        <w:numPr>
          <w:ilvl w:val="0"/>
          <w:numId w:val="2"/>
        </w:numPr>
        <w:spacing w:after="200" w:line="276" w:lineRule="auto"/>
        <w:jc w:val="center"/>
        <w:rPr>
          <w:rFonts w:ascii="Times New Roman" w:hAnsi="Times New Roman" w:cs="Times New Roman"/>
          <w:b/>
          <w:smallCaps/>
          <w:sz w:val="24"/>
          <w:szCs w:val="24"/>
        </w:rPr>
      </w:pPr>
      <w:r w:rsidRPr="00E8499C">
        <w:rPr>
          <w:rFonts w:ascii="Times New Roman" w:hAnsi="Times New Roman" w:cs="Times New Roman"/>
          <w:b/>
          <w:smallCaps/>
          <w:sz w:val="24"/>
          <w:szCs w:val="24"/>
        </w:rPr>
        <w:t>Introduction</w:t>
      </w:r>
    </w:p>
    <w:p w14:paraId="69FC6683" w14:textId="5732BA7A" w:rsidR="001552AD" w:rsidRDefault="000B1996" w:rsidP="005C01BF">
      <w:pPr>
        <w:spacing w:after="0" w:line="360" w:lineRule="auto"/>
        <w:ind w:firstLine="576"/>
        <w:jc w:val="both"/>
        <w:rPr>
          <w:rFonts w:ascii="Times New Roman" w:hAnsi="Times New Roman" w:cs="Times New Roman"/>
          <w:sz w:val="24"/>
          <w:szCs w:val="24"/>
        </w:rPr>
      </w:pPr>
      <w:r w:rsidRPr="00E8499C">
        <w:rPr>
          <w:rFonts w:ascii="Times New Roman" w:hAnsi="Times New Roman" w:cs="Times New Roman"/>
          <w:sz w:val="24"/>
          <w:szCs w:val="24"/>
        </w:rPr>
        <w:t>NRG Energy, Inc. (NRG)</w:t>
      </w:r>
      <w:r w:rsidR="003D03F4" w:rsidRPr="00E8499C">
        <w:rPr>
          <w:rFonts w:ascii="Times New Roman" w:hAnsi="Times New Roman" w:cs="Times New Roman"/>
          <w:sz w:val="24"/>
          <w:szCs w:val="24"/>
        </w:rPr>
        <w:t xml:space="preserve"> appreciates the opportunity to </w:t>
      </w:r>
      <w:r w:rsidR="001552AD">
        <w:rPr>
          <w:rFonts w:ascii="Times New Roman" w:hAnsi="Times New Roman" w:cs="Times New Roman"/>
          <w:sz w:val="24"/>
          <w:szCs w:val="24"/>
        </w:rPr>
        <w:t xml:space="preserve">reply to </w:t>
      </w:r>
      <w:r w:rsidR="00250128">
        <w:rPr>
          <w:rFonts w:ascii="Times New Roman" w:hAnsi="Times New Roman" w:cs="Times New Roman"/>
          <w:sz w:val="24"/>
          <w:szCs w:val="24"/>
        </w:rPr>
        <w:t xml:space="preserve">comments </w:t>
      </w:r>
      <w:r w:rsidR="003D03F4" w:rsidRPr="00E8499C">
        <w:rPr>
          <w:rFonts w:ascii="Times New Roman" w:hAnsi="Times New Roman" w:cs="Times New Roman"/>
          <w:sz w:val="24"/>
          <w:szCs w:val="24"/>
        </w:rPr>
        <w:t xml:space="preserve">in this project </w:t>
      </w:r>
      <w:r w:rsidR="00876A97" w:rsidRPr="00E8499C">
        <w:rPr>
          <w:rFonts w:ascii="Times New Roman" w:hAnsi="Times New Roman" w:cs="Times New Roman"/>
          <w:sz w:val="24"/>
          <w:szCs w:val="24"/>
        </w:rPr>
        <w:t>on the E</w:t>
      </w:r>
      <w:r w:rsidR="00FC151A">
        <w:rPr>
          <w:rFonts w:ascii="Times New Roman" w:hAnsi="Times New Roman" w:cs="Times New Roman"/>
          <w:sz w:val="24"/>
          <w:szCs w:val="24"/>
        </w:rPr>
        <w:t xml:space="preserve">lectric </w:t>
      </w:r>
      <w:r w:rsidR="00876A97" w:rsidRPr="00E8499C">
        <w:rPr>
          <w:rFonts w:ascii="Times New Roman" w:hAnsi="Times New Roman" w:cs="Times New Roman"/>
          <w:sz w:val="24"/>
          <w:szCs w:val="24"/>
        </w:rPr>
        <w:t>R</w:t>
      </w:r>
      <w:r w:rsidR="00FC151A">
        <w:rPr>
          <w:rFonts w:ascii="Times New Roman" w:hAnsi="Times New Roman" w:cs="Times New Roman"/>
          <w:sz w:val="24"/>
          <w:szCs w:val="24"/>
        </w:rPr>
        <w:t xml:space="preserve">eliability </w:t>
      </w:r>
      <w:r w:rsidR="00876A97" w:rsidRPr="00E8499C">
        <w:rPr>
          <w:rFonts w:ascii="Times New Roman" w:hAnsi="Times New Roman" w:cs="Times New Roman"/>
          <w:sz w:val="24"/>
          <w:szCs w:val="24"/>
        </w:rPr>
        <w:t>C</w:t>
      </w:r>
      <w:r w:rsidR="00FC151A">
        <w:rPr>
          <w:rFonts w:ascii="Times New Roman" w:hAnsi="Times New Roman" w:cs="Times New Roman"/>
          <w:sz w:val="24"/>
          <w:szCs w:val="24"/>
        </w:rPr>
        <w:t>ouncil of Texas (ERC</w:t>
      </w:r>
      <w:r w:rsidR="00876A97" w:rsidRPr="00E8499C">
        <w:rPr>
          <w:rFonts w:ascii="Times New Roman" w:hAnsi="Times New Roman" w:cs="Times New Roman"/>
          <w:sz w:val="24"/>
          <w:szCs w:val="24"/>
        </w:rPr>
        <w:t>OT</w:t>
      </w:r>
      <w:r w:rsidR="00FC151A">
        <w:rPr>
          <w:rFonts w:ascii="Times New Roman" w:hAnsi="Times New Roman" w:cs="Times New Roman"/>
          <w:sz w:val="24"/>
          <w:szCs w:val="24"/>
        </w:rPr>
        <w:t>)</w:t>
      </w:r>
      <w:r w:rsidR="00876A97" w:rsidRPr="00E8499C">
        <w:rPr>
          <w:rFonts w:ascii="Times New Roman" w:hAnsi="Times New Roman" w:cs="Times New Roman"/>
          <w:sz w:val="24"/>
          <w:szCs w:val="24"/>
        </w:rPr>
        <w:t xml:space="preserve"> scarcity pricing mechanism</w:t>
      </w:r>
      <w:r w:rsidR="00A61DB6" w:rsidRPr="00E8499C">
        <w:rPr>
          <w:rFonts w:ascii="Times New Roman" w:hAnsi="Times New Roman" w:cs="Times New Roman"/>
          <w:sz w:val="24"/>
          <w:szCs w:val="24"/>
        </w:rPr>
        <w:t xml:space="preserve"> </w:t>
      </w:r>
      <w:r w:rsidR="00333687">
        <w:rPr>
          <w:rFonts w:ascii="Times New Roman" w:hAnsi="Times New Roman" w:cs="Times New Roman"/>
          <w:sz w:val="24"/>
          <w:szCs w:val="24"/>
        </w:rPr>
        <w:t xml:space="preserve">set forth </w:t>
      </w:r>
      <w:r w:rsidR="00A61DB6" w:rsidRPr="00E8499C">
        <w:rPr>
          <w:rFonts w:ascii="Times New Roman" w:hAnsi="Times New Roman" w:cs="Times New Roman"/>
          <w:sz w:val="24"/>
          <w:szCs w:val="24"/>
        </w:rPr>
        <w:t>in 16 T</w:t>
      </w:r>
      <w:r w:rsidR="00333687">
        <w:rPr>
          <w:rFonts w:ascii="Times New Roman" w:hAnsi="Times New Roman" w:cs="Times New Roman"/>
          <w:sz w:val="24"/>
          <w:szCs w:val="24"/>
        </w:rPr>
        <w:t>exas Administrative Code (T</w:t>
      </w:r>
      <w:r w:rsidR="00A61DB6" w:rsidRPr="00E8499C">
        <w:rPr>
          <w:rFonts w:ascii="Times New Roman" w:hAnsi="Times New Roman" w:cs="Times New Roman"/>
          <w:sz w:val="24"/>
          <w:szCs w:val="24"/>
        </w:rPr>
        <w:t>AC</w:t>
      </w:r>
      <w:r w:rsidR="00333687">
        <w:rPr>
          <w:rFonts w:ascii="Times New Roman" w:hAnsi="Times New Roman" w:cs="Times New Roman"/>
          <w:sz w:val="24"/>
          <w:szCs w:val="24"/>
        </w:rPr>
        <w:t>)</w:t>
      </w:r>
      <w:r w:rsidR="00A61DB6" w:rsidRPr="00E8499C">
        <w:rPr>
          <w:rFonts w:ascii="Times New Roman" w:hAnsi="Times New Roman" w:cs="Times New Roman"/>
          <w:sz w:val="24"/>
          <w:szCs w:val="24"/>
        </w:rPr>
        <w:t xml:space="preserve"> § 25.505(g)</w:t>
      </w:r>
      <w:r w:rsidR="001552AD">
        <w:rPr>
          <w:rFonts w:ascii="Times New Roman" w:hAnsi="Times New Roman" w:cs="Times New Roman"/>
          <w:sz w:val="24"/>
          <w:szCs w:val="24"/>
        </w:rPr>
        <w:t xml:space="preserve">.  </w:t>
      </w:r>
    </w:p>
    <w:p w14:paraId="7169B161" w14:textId="670E9BD4" w:rsidR="00647996" w:rsidRDefault="00ED2BD2" w:rsidP="005C01BF">
      <w:pPr>
        <w:spacing w:after="0" w:line="360" w:lineRule="auto"/>
        <w:ind w:firstLine="576"/>
        <w:jc w:val="both"/>
        <w:rPr>
          <w:rFonts w:ascii="Times New Roman" w:hAnsi="Times New Roman" w:cs="Times New Roman"/>
          <w:sz w:val="24"/>
          <w:szCs w:val="24"/>
        </w:rPr>
      </w:pPr>
      <w:r>
        <w:rPr>
          <w:rFonts w:ascii="Times New Roman" w:hAnsi="Times New Roman" w:cs="Times New Roman"/>
          <w:sz w:val="24"/>
          <w:szCs w:val="24"/>
        </w:rPr>
        <w:t xml:space="preserve">NRG supports the pricing circuit breaker concept embodied </w:t>
      </w:r>
      <w:r w:rsidR="009F60C2">
        <w:rPr>
          <w:rFonts w:ascii="Times New Roman" w:hAnsi="Times New Roman" w:cs="Times New Roman"/>
          <w:sz w:val="24"/>
          <w:szCs w:val="24"/>
        </w:rPr>
        <w:t>by the</w:t>
      </w:r>
      <w:r>
        <w:rPr>
          <w:rFonts w:ascii="Times New Roman" w:hAnsi="Times New Roman" w:cs="Times New Roman"/>
          <w:sz w:val="24"/>
          <w:szCs w:val="24"/>
        </w:rPr>
        <w:t xml:space="preserve"> </w:t>
      </w:r>
      <w:r w:rsidR="009F60C2" w:rsidRPr="00E8499C">
        <w:rPr>
          <w:rFonts w:ascii="Times New Roman" w:hAnsi="Times New Roman" w:cs="Times New Roman"/>
          <w:sz w:val="24"/>
          <w:szCs w:val="24"/>
        </w:rPr>
        <w:t>scarcity pricing mechanism</w:t>
      </w:r>
      <w:r w:rsidR="009F60C2">
        <w:rPr>
          <w:rFonts w:ascii="Times New Roman" w:hAnsi="Times New Roman" w:cs="Times New Roman"/>
          <w:sz w:val="24"/>
          <w:szCs w:val="24"/>
        </w:rPr>
        <w:t xml:space="preserve"> in </w:t>
      </w:r>
      <w:r w:rsidR="000F4DCF">
        <w:rPr>
          <w:rFonts w:ascii="Times New Roman" w:hAnsi="Times New Roman" w:cs="Times New Roman"/>
          <w:sz w:val="24"/>
          <w:szCs w:val="24"/>
        </w:rPr>
        <w:t xml:space="preserve">16 </w:t>
      </w:r>
      <w:r w:rsidR="009F60C2">
        <w:rPr>
          <w:rFonts w:ascii="Times New Roman" w:hAnsi="Times New Roman" w:cs="Times New Roman"/>
          <w:sz w:val="24"/>
          <w:szCs w:val="24"/>
        </w:rPr>
        <w:t>T</w:t>
      </w:r>
      <w:r w:rsidR="009F60C2" w:rsidRPr="00E8499C">
        <w:rPr>
          <w:rFonts w:ascii="Times New Roman" w:hAnsi="Times New Roman" w:cs="Times New Roman"/>
          <w:sz w:val="24"/>
          <w:szCs w:val="24"/>
        </w:rPr>
        <w:t>AC § 25.505(g</w:t>
      </w:r>
      <w:r w:rsidR="009F60C2">
        <w:rPr>
          <w:rFonts w:ascii="Times New Roman" w:hAnsi="Times New Roman" w:cs="Times New Roman"/>
          <w:sz w:val="24"/>
          <w:szCs w:val="24"/>
        </w:rPr>
        <w:t>)</w:t>
      </w:r>
      <w:r w:rsidR="000F4DCF">
        <w:rPr>
          <w:rFonts w:ascii="Times New Roman" w:hAnsi="Times New Roman" w:cs="Times New Roman"/>
          <w:sz w:val="24"/>
          <w:szCs w:val="24"/>
        </w:rPr>
        <w:t>,</w:t>
      </w:r>
      <w:r w:rsidR="009F60C2">
        <w:rPr>
          <w:rFonts w:ascii="Times New Roman" w:hAnsi="Times New Roman" w:cs="Times New Roman"/>
          <w:sz w:val="24"/>
          <w:szCs w:val="24"/>
        </w:rPr>
        <w:t xml:space="preserve"> including the peaker net margin (PNM) calculation that lowers the system-wide offer cap (SWCAP) from the high offer cap (HCAP) to the low offer cap (LCAP) once the threshold of three times</w:t>
      </w:r>
      <w:r w:rsidR="009F60C2" w:rsidRPr="009F60C2">
        <w:rPr>
          <w:rFonts w:ascii="Times New Roman" w:hAnsi="Times New Roman" w:cs="Times New Roman"/>
          <w:sz w:val="24"/>
          <w:szCs w:val="24"/>
        </w:rPr>
        <w:t xml:space="preserve"> the cost of new entry of generation plants</w:t>
      </w:r>
      <w:r w:rsidR="009F60C2">
        <w:rPr>
          <w:rFonts w:ascii="Times New Roman" w:hAnsi="Times New Roman" w:cs="Times New Roman"/>
          <w:sz w:val="24"/>
          <w:szCs w:val="24"/>
        </w:rPr>
        <w:t xml:space="preserve"> is reached.</w:t>
      </w:r>
      <w:r w:rsidR="00CF62D5">
        <w:rPr>
          <w:rFonts w:ascii="Times New Roman" w:hAnsi="Times New Roman" w:cs="Times New Roman"/>
          <w:sz w:val="24"/>
          <w:szCs w:val="24"/>
        </w:rPr>
        <w:t xml:space="preserve">  The proposed changes in NRG’s initial comments ensure the LCAP operates as a true pricing circuit breaker even under high gas prices</w:t>
      </w:r>
      <w:r w:rsidR="00B66CA6">
        <w:rPr>
          <w:rFonts w:ascii="Times New Roman" w:hAnsi="Times New Roman" w:cs="Times New Roman"/>
          <w:sz w:val="24"/>
          <w:szCs w:val="24"/>
        </w:rPr>
        <w:t xml:space="preserve"> while ensuring generators are not harmed financially if</w:t>
      </w:r>
      <w:r w:rsidR="00905961">
        <w:rPr>
          <w:rFonts w:ascii="Times New Roman" w:hAnsi="Times New Roman" w:cs="Times New Roman"/>
          <w:sz w:val="24"/>
          <w:szCs w:val="24"/>
        </w:rPr>
        <w:t xml:space="preserve"> </w:t>
      </w:r>
      <w:r w:rsidR="000F4DCF">
        <w:rPr>
          <w:rFonts w:ascii="Times New Roman" w:hAnsi="Times New Roman" w:cs="Times New Roman"/>
          <w:sz w:val="24"/>
          <w:szCs w:val="24"/>
        </w:rPr>
        <w:t xml:space="preserve">their </w:t>
      </w:r>
      <w:r w:rsidR="00905961">
        <w:rPr>
          <w:rFonts w:ascii="Times New Roman" w:hAnsi="Times New Roman" w:cs="Times New Roman"/>
          <w:sz w:val="24"/>
          <w:szCs w:val="24"/>
        </w:rPr>
        <w:t xml:space="preserve"> </w:t>
      </w:r>
      <w:r w:rsidR="000F4DCF">
        <w:rPr>
          <w:rFonts w:ascii="Times New Roman" w:hAnsi="Times New Roman" w:cs="Times New Roman"/>
          <w:sz w:val="24"/>
          <w:szCs w:val="24"/>
        </w:rPr>
        <w:t xml:space="preserve">operating </w:t>
      </w:r>
      <w:r w:rsidR="00905961">
        <w:rPr>
          <w:rFonts w:ascii="Times New Roman" w:hAnsi="Times New Roman" w:cs="Times New Roman"/>
          <w:sz w:val="24"/>
          <w:szCs w:val="24"/>
        </w:rPr>
        <w:t>costs exceed a $2,000/MWh LCAP</w:t>
      </w:r>
      <w:r w:rsidR="00CF62D5">
        <w:rPr>
          <w:rFonts w:ascii="Times New Roman" w:hAnsi="Times New Roman" w:cs="Times New Roman"/>
          <w:sz w:val="24"/>
          <w:szCs w:val="24"/>
        </w:rPr>
        <w:t>.</w:t>
      </w:r>
      <w:r w:rsidR="00961E4E">
        <w:rPr>
          <w:rStyle w:val="FootnoteReference"/>
          <w:rFonts w:ascii="Times New Roman" w:hAnsi="Times New Roman" w:cs="Times New Roman"/>
          <w:sz w:val="24"/>
          <w:szCs w:val="24"/>
        </w:rPr>
        <w:footnoteReference w:id="1"/>
      </w:r>
      <w:r w:rsidR="00CF62D5">
        <w:rPr>
          <w:rFonts w:ascii="Times New Roman" w:hAnsi="Times New Roman" w:cs="Times New Roman"/>
          <w:sz w:val="24"/>
          <w:szCs w:val="24"/>
        </w:rPr>
        <w:t xml:space="preserve">  </w:t>
      </w:r>
      <w:r w:rsidR="00B66CA6">
        <w:rPr>
          <w:rFonts w:ascii="Times New Roman" w:hAnsi="Times New Roman" w:cs="Times New Roman"/>
          <w:sz w:val="24"/>
          <w:szCs w:val="24"/>
        </w:rPr>
        <w:t>Most of the proposed rule modifications filed by other parties</w:t>
      </w:r>
      <w:r w:rsidR="00905961">
        <w:rPr>
          <w:rFonts w:ascii="Times New Roman" w:hAnsi="Times New Roman" w:cs="Times New Roman"/>
          <w:sz w:val="24"/>
          <w:szCs w:val="24"/>
        </w:rPr>
        <w:t xml:space="preserve"> fail to maintain the circuit breaker concept in a high gas price environment</w:t>
      </w:r>
      <w:r w:rsidR="00DF4C50">
        <w:rPr>
          <w:rFonts w:ascii="Times New Roman" w:hAnsi="Times New Roman" w:cs="Times New Roman"/>
          <w:sz w:val="24"/>
          <w:szCs w:val="24"/>
        </w:rPr>
        <w:t>,</w:t>
      </w:r>
      <w:r w:rsidR="00905961">
        <w:rPr>
          <w:rFonts w:ascii="Times New Roman" w:hAnsi="Times New Roman" w:cs="Times New Roman"/>
          <w:sz w:val="24"/>
          <w:szCs w:val="24"/>
        </w:rPr>
        <w:t xml:space="preserve"> </w:t>
      </w:r>
      <w:r w:rsidR="00315A47">
        <w:rPr>
          <w:rFonts w:ascii="Times New Roman" w:hAnsi="Times New Roman" w:cs="Times New Roman"/>
          <w:sz w:val="24"/>
          <w:szCs w:val="24"/>
        </w:rPr>
        <w:t xml:space="preserve">or alternatively </w:t>
      </w:r>
      <w:r w:rsidR="005259B3">
        <w:rPr>
          <w:rFonts w:ascii="Times New Roman" w:hAnsi="Times New Roman" w:cs="Times New Roman"/>
          <w:sz w:val="24"/>
          <w:szCs w:val="24"/>
        </w:rPr>
        <w:t xml:space="preserve">would harm generators financially by capping offers below cost </w:t>
      </w:r>
      <w:r w:rsidR="00CA71AB">
        <w:rPr>
          <w:rFonts w:ascii="Times New Roman" w:hAnsi="Times New Roman" w:cs="Times New Roman"/>
          <w:sz w:val="24"/>
          <w:szCs w:val="24"/>
        </w:rPr>
        <w:t>in the cases that</w:t>
      </w:r>
      <w:r w:rsidR="005259B3">
        <w:rPr>
          <w:rFonts w:ascii="Times New Roman" w:hAnsi="Times New Roman" w:cs="Times New Roman"/>
          <w:sz w:val="24"/>
          <w:szCs w:val="24"/>
        </w:rPr>
        <w:t xml:space="preserve"> high gas prices increase fuel costs above the proposed caps.  </w:t>
      </w:r>
      <w:r w:rsidR="004E3499">
        <w:rPr>
          <w:rFonts w:ascii="Times New Roman" w:hAnsi="Times New Roman" w:cs="Times New Roman"/>
          <w:sz w:val="24"/>
          <w:szCs w:val="24"/>
        </w:rPr>
        <w:t>It is important to consider the duration and magnitude of prices required to exceed the PNM threshold</w:t>
      </w:r>
      <w:r w:rsidR="00315A47">
        <w:rPr>
          <w:rFonts w:ascii="Times New Roman" w:hAnsi="Times New Roman" w:cs="Times New Roman"/>
          <w:sz w:val="24"/>
          <w:szCs w:val="24"/>
        </w:rPr>
        <w:t>,</w:t>
      </w:r>
      <w:r w:rsidR="00DE7D9E">
        <w:rPr>
          <w:rFonts w:ascii="Times New Roman" w:hAnsi="Times New Roman" w:cs="Times New Roman"/>
          <w:sz w:val="24"/>
          <w:szCs w:val="24"/>
        </w:rPr>
        <w:t xml:space="preserve"> which is </w:t>
      </w:r>
      <w:r w:rsidR="000F4DCF">
        <w:rPr>
          <w:rFonts w:ascii="Times New Roman" w:hAnsi="Times New Roman" w:cs="Times New Roman"/>
          <w:sz w:val="24"/>
          <w:szCs w:val="24"/>
        </w:rPr>
        <w:t>a</w:t>
      </w:r>
      <w:r w:rsidR="00DE7D9E">
        <w:rPr>
          <w:rFonts w:ascii="Times New Roman" w:hAnsi="Times New Roman" w:cs="Times New Roman"/>
          <w:sz w:val="24"/>
          <w:szCs w:val="24"/>
        </w:rPr>
        <w:t xml:space="preserve"> rare</w:t>
      </w:r>
      <w:r w:rsidR="000F4DCF">
        <w:rPr>
          <w:rFonts w:ascii="Times New Roman" w:hAnsi="Times New Roman" w:cs="Times New Roman"/>
          <w:sz w:val="24"/>
          <w:szCs w:val="24"/>
        </w:rPr>
        <w:t xml:space="preserve"> event</w:t>
      </w:r>
      <w:r w:rsidR="00DE7D9E">
        <w:rPr>
          <w:rFonts w:ascii="Times New Roman" w:hAnsi="Times New Roman" w:cs="Times New Roman"/>
          <w:sz w:val="24"/>
          <w:szCs w:val="24"/>
        </w:rPr>
        <w:t xml:space="preserve">.  Even when substantial scarcity hours were observed in 2011 and 2019, the </w:t>
      </w:r>
      <w:r w:rsidR="00C816F9">
        <w:rPr>
          <w:rFonts w:ascii="Times New Roman" w:hAnsi="Times New Roman" w:cs="Times New Roman"/>
          <w:sz w:val="24"/>
          <w:szCs w:val="24"/>
        </w:rPr>
        <w:t>accrual</w:t>
      </w:r>
      <w:r w:rsidR="00DE7D9E">
        <w:rPr>
          <w:rFonts w:ascii="Times New Roman" w:hAnsi="Times New Roman" w:cs="Times New Roman"/>
          <w:sz w:val="24"/>
          <w:szCs w:val="24"/>
        </w:rPr>
        <w:t xml:space="preserve"> of PNM </w:t>
      </w:r>
      <w:r w:rsidR="00C816F9">
        <w:rPr>
          <w:rFonts w:ascii="Times New Roman" w:hAnsi="Times New Roman" w:cs="Times New Roman"/>
          <w:sz w:val="24"/>
          <w:szCs w:val="24"/>
        </w:rPr>
        <w:t xml:space="preserve">in each of those years </w:t>
      </w:r>
      <w:r w:rsidR="00DE7D9E">
        <w:rPr>
          <w:rFonts w:ascii="Times New Roman" w:hAnsi="Times New Roman" w:cs="Times New Roman"/>
          <w:sz w:val="24"/>
          <w:szCs w:val="24"/>
        </w:rPr>
        <w:t xml:space="preserve">was not </w:t>
      </w:r>
      <w:r w:rsidR="00C816F9">
        <w:rPr>
          <w:rFonts w:ascii="Times New Roman" w:hAnsi="Times New Roman" w:cs="Times New Roman"/>
          <w:sz w:val="24"/>
          <w:szCs w:val="24"/>
        </w:rPr>
        <w:t xml:space="preserve">even </w:t>
      </w:r>
      <w:r w:rsidR="00DE7D9E">
        <w:rPr>
          <w:rFonts w:ascii="Times New Roman" w:hAnsi="Times New Roman" w:cs="Times New Roman"/>
          <w:sz w:val="24"/>
          <w:szCs w:val="24"/>
        </w:rPr>
        <w:t xml:space="preserve">half of the </w:t>
      </w:r>
      <w:r w:rsidR="00C816F9">
        <w:rPr>
          <w:rFonts w:ascii="Times New Roman" w:hAnsi="Times New Roman" w:cs="Times New Roman"/>
          <w:sz w:val="24"/>
          <w:szCs w:val="24"/>
        </w:rPr>
        <w:t xml:space="preserve">required </w:t>
      </w:r>
      <w:r w:rsidR="00DE7D9E">
        <w:rPr>
          <w:rFonts w:ascii="Times New Roman" w:hAnsi="Times New Roman" w:cs="Times New Roman"/>
          <w:sz w:val="24"/>
          <w:szCs w:val="24"/>
        </w:rPr>
        <w:t>$315,000/MW-year</w:t>
      </w:r>
      <w:r w:rsidR="001066C0">
        <w:rPr>
          <w:rStyle w:val="FootnoteReference"/>
          <w:rFonts w:ascii="Times New Roman" w:hAnsi="Times New Roman" w:cs="Times New Roman"/>
          <w:sz w:val="24"/>
          <w:szCs w:val="24"/>
        </w:rPr>
        <w:footnoteReference w:id="2"/>
      </w:r>
      <w:r w:rsidR="00DE7D9E">
        <w:rPr>
          <w:rFonts w:ascii="Times New Roman" w:hAnsi="Times New Roman" w:cs="Times New Roman"/>
          <w:sz w:val="24"/>
          <w:szCs w:val="24"/>
        </w:rPr>
        <w:t xml:space="preserve"> PNM threshold</w:t>
      </w:r>
      <w:r w:rsidR="00C816F9">
        <w:rPr>
          <w:rFonts w:ascii="Times New Roman" w:hAnsi="Times New Roman" w:cs="Times New Roman"/>
          <w:sz w:val="24"/>
          <w:szCs w:val="24"/>
        </w:rPr>
        <w:t xml:space="preserve"> to trigger the LCAP.</w:t>
      </w:r>
      <w:r w:rsidR="00C816F9">
        <w:rPr>
          <w:rStyle w:val="FootnoteReference"/>
          <w:rFonts w:ascii="Times New Roman" w:hAnsi="Times New Roman" w:cs="Times New Roman"/>
          <w:sz w:val="24"/>
          <w:szCs w:val="24"/>
        </w:rPr>
        <w:footnoteReference w:id="3"/>
      </w:r>
      <w:r w:rsidR="00C816F9">
        <w:rPr>
          <w:rFonts w:ascii="Times New Roman" w:hAnsi="Times New Roman" w:cs="Times New Roman"/>
          <w:sz w:val="24"/>
          <w:szCs w:val="24"/>
        </w:rPr>
        <w:t xml:space="preserve">  The February 2021 winter weather event </w:t>
      </w:r>
      <w:r w:rsidR="00EA059A">
        <w:rPr>
          <w:rFonts w:ascii="Times New Roman" w:hAnsi="Times New Roman" w:cs="Times New Roman"/>
          <w:sz w:val="24"/>
          <w:szCs w:val="24"/>
        </w:rPr>
        <w:t xml:space="preserve">greatly exceeded any historical reference for duration of load shed and prices at the $9,000/MWh value of lost load (VOLL).  </w:t>
      </w:r>
      <w:r w:rsidR="00BE201C">
        <w:rPr>
          <w:rFonts w:ascii="Times New Roman" w:hAnsi="Times New Roman" w:cs="Times New Roman"/>
          <w:sz w:val="24"/>
          <w:szCs w:val="24"/>
        </w:rPr>
        <w:t>At</w:t>
      </w:r>
      <w:r w:rsidR="00EA059A">
        <w:rPr>
          <w:rFonts w:ascii="Times New Roman" w:hAnsi="Times New Roman" w:cs="Times New Roman"/>
          <w:sz w:val="24"/>
          <w:szCs w:val="24"/>
        </w:rPr>
        <w:t xml:space="preserve"> $709,250/MW-year as of </w:t>
      </w:r>
      <w:r w:rsidR="00EA059A">
        <w:rPr>
          <w:rFonts w:ascii="Times New Roman" w:hAnsi="Times New Roman" w:cs="Times New Roman"/>
          <w:sz w:val="24"/>
          <w:szCs w:val="24"/>
        </w:rPr>
        <w:lastRenderedPageBreak/>
        <w:t>March 21</w:t>
      </w:r>
      <w:r w:rsidR="00EA059A" w:rsidRPr="00EA059A">
        <w:rPr>
          <w:rFonts w:ascii="Times New Roman" w:hAnsi="Times New Roman" w:cs="Times New Roman"/>
          <w:sz w:val="24"/>
          <w:szCs w:val="24"/>
          <w:vertAlign w:val="superscript"/>
        </w:rPr>
        <w:t>st</w:t>
      </w:r>
      <w:r w:rsidR="00EA059A">
        <w:rPr>
          <w:rFonts w:ascii="Times New Roman" w:hAnsi="Times New Roman" w:cs="Times New Roman"/>
          <w:sz w:val="24"/>
          <w:szCs w:val="24"/>
        </w:rPr>
        <w:t xml:space="preserve">, </w:t>
      </w:r>
      <w:r w:rsidR="00BE201C">
        <w:rPr>
          <w:rFonts w:ascii="Times New Roman" w:hAnsi="Times New Roman" w:cs="Times New Roman"/>
          <w:sz w:val="24"/>
          <w:szCs w:val="24"/>
        </w:rPr>
        <w:t xml:space="preserve">the PNM accrual for </w:t>
      </w:r>
      <w:r w:rsidR="00EA059A">
        <w:rPr>
          <w:rFonts w:ascii="Times New Roman" w:hAnsi="Times New Roman" w:cs="Times New Roman"/>
          <w:sz w:val="24"/>
          <w:szCs w:val="24"/>
        </w:rPr>
        <w:t>2021 has already</w:t>
      </w:r>
      <w:r w:rsidR="00BE201C">
        <w:rPr>
          <w:rFonts w:ascii="Times New Roman" w:hAnsi="Times New Roman" w:cs="Times New Roman"/>
          <w:sz w:val="24"/>
          <w:szCs w:val="24"/>
        </w:rPr>
        <w:t xml:space="preserve"> doubled the threshold.</w:t>
      </w:r>
      <w:r w:rsidR="00BE201C">
        <w:rPr>
          <w:rStyle w:val="FootnoteReference"/>
          <w:rFonts w:ascii="Times New Roman" w:hAnsi="Times New Roman" w:cs="Times New Roman"/>
          <w:sz w:val="24"/>
          <w:szCs w:val="24"/>
        </w:rPr>
        <w:footnoteReference w:id="4"/>
      </w:r>
      <w:r w:rsidR="00BE201C">
        <w:rPr>
          <w:rFonts w:ascii="Times New Roman" w:hAnsi="Times New Roman" w:cs="Times New Roman"/>
          <w:sz w:val="24"/>
          <w:szCs w:val="24"/>
        </w:rPr>
        <w:t xml:space="preserve">  The financial consequences of these pricing outcomes have been </w:t>
      </w:r>
      <w:r w:rsidR="001C5ABD">
        <w:rPr>
          <w:rFonts w:ascii="Times New Roman" w:hAnsi="Times New Roman" w:cs="Times New Roman"/>
          <w:sz w:val="24"/>
          <w:szCs w:val="24"/>
        </w:rPr>
        <w:t>severe</w:t>
      </w:r>
      <w:r w:rsidR="00BE201C">
        <w:rPr>
          <w:rFonts w:ascii="Times New Roman" w:hAnsi="Times New Roman" w:cs="Times New Roman"/>
          <w:sz w:val="24"/>
          <w:szCs w:val="24"/>
        </w:rPr>
        <w:t>.  The ERCOT market has experienced a record amount of unpaid invoices (i.e. default amount) estimated at $2,916,869,044.57</w:t>
      </w:r>
      <w:r w:rsidR="009C24B5">
        <w:rPr>
          <w:rStyle w:val="FootnoteReference"/>
          <w:rFonts w:ascii="Times New Roman" w:hAnsi="Times New Roman" w:cs="Times New Roman"/>
          <w:sz w:val="24"/>
          <w:szCs w:val="24"/>
        </w:rPr>
        <w:footnoteReference w:id="5"/>
      </w:r>
      <w:r w:rsidR="009C24B5">
        <w:rPr>
          <w:rFonts w:ascii="Times New Roman" w:hAnsi="Times New Roman" w:cs="Times New Roman"/>
          <w:sz w:val="24"/>
          <w:szCs w:val="24"/>
        </w:rPr>
        <w:t xml:space="preserve"> and numerous market participants have exited the market or filed for bankruptcy.  </w:t>
      </w:r>
    </w:p>
    <w:p w14:paraId="45F20EDA" w14:textId="0606EBEE" w:rsidR="00A45148" w:rsidRDefault="001B0C7F" w:rsidP="00A45148">
      <w:pPr>
        <w:spacing w:after="24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The purpose of </w:t>
      </w:r>
      <w:r w:rsidR="002F0E24">
        <w:rPr>
          <w:rFonts w:ascii="Times New Roman" w:hAnsi="Times New Roman" w:cs="Times New Roman"/>
          <w:sz w:val="24"/>
          <w:szCs w:val="24"/>
        </w:rPr>
        <w:t>a</w:t>
      </w:r>
      <w:r w:rsidR="00647996">
        <w:rPr>
          <w:rFonts w:ascii="Times New Roman" w:hAnsi="Times New Roman" w:cs="Times New Roman"/>
          <w:sz w:val="24"/>
          <w:szCs w:val="24"/>
        </w:rPr>
        <w:t xml:space="preserve"> circuit breaker </w:t>
      </w:r>
      <w:r>
        <w:rPr>
          <w:rFonts w:ascii="Times New Roman" w:hAnsi="Times New Roman" w:cs="Times New Roman"/>
          <w:sz w:val="24"/>
          <w:szCs w:val="24"/>
        </w:rPr>
        <w:t xml:space="preserve">to scarcity pricing is </w:t>
      </w:r>
      <w:r w:rsidR="00647996">
        <w:rPr>
          <w:rFonts w:ascii="Times New Roman" w:hAnsi="Times New Roman" w:cs="Times New Roman"/>
          <w:sz w:val="24"/>
          <w:szCs w:val="24"/>
        </w:rPr>
        <w:t xml:space="preserve">to </w:t>
      </w:r>
      <w:r w:rsidR="001C5ABD">
        <w:rPr>
          <w:rFonts w:ascii="Times New Roman" w:hAnsi="Times New Roman" w:cs="Times New Roman"/>
          <w:sz w:val="24"/>
          <w:szCs w:val="24"/>
        </w:rPr>
        <w:t xml:space="preserve">ensure that once adequate price signals are sent to incentivize </w:t>
      </w:r>
      <w:r w:rsidR="005F3A1B">
        <w:rPr>
          <w:rFonts w:ascii="Times New Roman" w:hAnsi="Times New Roman" w:cs="Times New Roman"/>
          <w:sz w:val="24"/>
          <w:szCs w:val="24"/>
        </w:rPr>
        <w:t>investment</w:t>
      </w:r>
      <w:r w:rsidR="001C5ABD">
        <w:rPr>
          <w:rFonts w:ascii="Times New Roman" w:hAnsi="Times New Roman" w:cs="Times New Roman"/>
          <w:sz w:val="24"/>
          <w:szCs w:val="24"/>
        </w:rPr>
        <w:t xml:space="preserve">, pricing returns to lower thresholds.  </w:t>
      </w:r>
      <w:r w:rsidR="009C1AF4">
        <w:rPr>
          <w:rFonts w:ascii="Times New Roman" w:hAnsi="Times New Roman" w:cs="Times New Roman"/>
          <w:sz w:val="24"/>
          <w:szCs w:val="24"/>
        </w:rPr>
        <w:t xml:space="preserve">The ERCOT market has for 2021 reached that point.  </w:t>
      </w:r>
      <w:r>
        <w:rPr>
          <w:rFonts w:ascii="Times New Roman" w:hAnsi="Times New Roman" w:cs="Times New Roman"/>
          <w:sz w:val="24"/>
          <w:szCs w:val="24"/>
        </w:rPr>
        <w:t xml:space="preserve">The circuit breaker in ERCOT is framed in terms of the cost of new entry of incremental capacity, and NRG submits that additional intervals of scarcity </w:t>
      </w:r>
      <w:r w:rsidR="009C1AF4">
        <w:rPr>
          <w:rFonts w:ascii="Times New Roman" w:hAnsi="Times New Roman" w:cs="Times New Roman"/>
          <w:sz w:val="24"/>
          <w:szCs w:val="24"/>
        </w:rPr>
        <w:t xml:space="preserve">pricing </w:t>
      </w:r>
      <w:r>
        <w:rPr>
          <w:rFonts w:ascii="Times New Roman" w:hAnsi="Times New Roman" w:cs="Times New Roman"/>
          <w:sz w:val="24"/>
          <w:szCs w:val="24"/>
        </w:rPr>
        <w:t>would not change potential new entrants</w:t>
      </w:r>
      <w:r w:rsidR="009C1AF4">
        <w:rPr>
          <w:rFonts w:ascii="Times New Roman" w:hAnsi="Times New Roman" w:cs="Times New Roman"/>
          <w:sz w:val="24"/>
          <w:szCs w:val="24"/>
        </w:rPr>
        <w:t>’</w:t>
      </w:r>
      <w:r>
        <w:rPr>
          <w:rFonts w:ascii="Times New Roman" w:hAnsi="Times New Roman" w:cs="Times New Roman"/>
          <w:sz w:val="24"/>
          <w:szCs w:val="24"/>
        </w:rPr>
        <w:t xml:space="preserve"> </w:t>
      </w:r>
      <w:r w:rsidR="00A673C5">
        <w:rPr>
          <w:rFonts w:ascii="Times New Roman" w:hAnsi="Times New Roman" w:cs="Times New Roman"/>
          <w:sz w:val="24"/>
          <w:szCs w:val="24"/>
        </w:rPr>
        <w:t xml:space="preserve">fundamental </w:t>
      </w:r>
      <w:r>
        <w:rPr>
          <w:rFonts w:ascii="Times New Roman" w:hAnsi="Times New Roman" w:cs="Times New Roman"/>
          <w:sz w:val="24"/>
          <w:szCs w:val="24"/>
        </w:rPr>
        <w:t xml:space="preserve">view of the </w:t>
      </w:r>
      <w:r w:rsidR="00A673C5">
        <w:rPr>
          <w:rFonts w:ascii="Times New Roman" w:hAnsi="Times New Roman" w:cs="Times New Roman"/>
          <w:sz w:val="24"/>
          <w:szCs w:val="24"/>
        </w:rPr>
        <w:t xml:space="preserve">profitability of the </w:t>
      </w:r>
      <w:r>
        <w:rPr>
          <w:rFonts w:ascii="Times New Roman" w:hAnsi="Times New Roman" w:cs="Times New Roman"/>
          <w:sz w:val="24"/>
          <w:szCs w:val="24"/>
        </w:rPr>
        <w:t xml:space="preserve">ERCOT marketplace.  For that reason, </w:t>
      </w:r>
      <w:r w:rsidR="00647996">
        <w:rPr>
          <w:rFonts w:ascii="Times New Roman" w:hAnsi="Times New Roman" w:cs="Times New Roman"/>
          <w:sz w:val="24"/>
          <w:szCs w:val="24"/>
        </w:rPr>
        <w:t xml:space="preserve">it would not be </w:t>
      </w:r>
      <w:r>
        <w:rPr>
          <w:rFonts w:ascii="Times New Roman" w:hAnsi="Times New Roman" w:cs="Times New Roman"/>
          <w:sz w:val="24"/>
          <w:szCs w:val="24"/>
        </w:rPr>
        <w:t xml:space="preserve">reasonable </w:t>
      </w:r>
      <w:r w:rsidR="00647996">
        <w:rPr>
          <w:rFonts w:ascii="Times New Roman" w:hAnsi="Times New Roman" w:cs="Times New Roman"/>
          <w:sz w:val="24"/>
          <w:szCs w:val="24"/>
        </w:rPr>
        <w:t xml:space="preserve">to prevent the </w:t>
      </w:r>
      <w:r w:rsidR="009C24B5">
        <w:rPr>
          <w:rFonts w:ascii="Times New Roman" w:hAnsi="Times New Roman" w:cs="Times New Roman"/>
          <w:sz w:val="24"/>
          <w:szCs w:val="24"/>
        </w:rPr>
        <w:t xml:space="preserve">LCAP mechanism </w:t>
      </w:r>
      <w:r w:rsidR="00647996">
        <w:rPr>
          <w:rFonts w:ascii="Times New Roman" w:hAnsi="Times New Roman" w:cs="Times New Roman"/>
          <w:sz w:val="24"/>
          <w:szCs w:val="24"/>
        </w:rPr>
        <w:t xml:space="preserve">to work </w:t>
      </w:r>
      <w:r w:rsidR="00A673C5">
        <w:rPr>
          <w:rFonts w:ascii="Times New Roman" w:hAnsi="Times New Roman" w:cs="Times New Roman"/>
          <w:sz w:val="24"/>
          <w:szCs w:val="24"/>
        </w:rPr>
        <w:t xml:space="preserve">as intended </w:t>
      </w:r>
      <w:r w:rsidR="00647996">
        <w:rPr>
          <w:rFonts w:ascii="Times New Roman" w:hAnsi="Times New Roman" w:cs="Times New Roman"/>
          <w:sz w:val="24"/>
          <w:szCs w:val="24"/>
        </w:rPr>
        <w:t xml:space="preserve">as </w:t>
      </w:r>
      <w:r w:rsidR="00A673C5">
        <w:rPr>
          <w:rFonts w:ascii="Times New Roman" w:hAnsi="Times New Roman" w:cs="Times New Roman"/>
          <w:sz w:val="24"/>
          <w:szCs w:val="24"/>
        </w:rPr>
        <w:t xml:space="preserve">a </w:t>
      </w:r>
      <w:r w:rsidR="00647996">
        <w:rPr>
          <w:rFonts w:ascii="Times New Roman" w:hAnsi="Times New Roman" w:cs="Times New Roman"/>
          <w:sz w:val="24"/>
          <w:szCs w:val="24"/>
        </w:rPr>
        <w:t>circuit breaker</w:t>
      </w:r>
      <w:r>
        <w:rPr>
          <w:rFonts w:ascii="Times New Roman" w:hAnsi="Times New Roman" w:cs="Times New Roman"/>
          <w:sz w:val="24"/>
          <w:szCs w:val="24"/>
        </w:rPr>
        <w:t xml:space="preserve">.  Meanwhile, to the degree that scarcity pricing also conveys </w:t>
      </w:r>
      <w:r w:rsidR="00A673C5">
        <w:rPr>
          <w:rFonts w:ascii="Times New Roman" w:hAnsi="Times New Roman" w:cs="Times New Roman"/>
          <w:sz w:val="24"/>
          <w:szCs w:val="24"/>
        </w:rPr>
        <w:t xml:space="preserve">useful </w:t>
      </w:r>
      <w:r>
        <w:rPr>
          <w:rFonts w:ascii="Times New Roman" w:hAnsi="Times New Roman" w:cs="Times New Roman"/>
          <w:sz w:val="24"/>
          <w:szCs w:val="24"/>
        </w:rPr>
        <w:t xml:space="preserve">real-time signals for existing resources, </w:t>
      </w:r>
      <w:r w:rsidR="00647996">
        <w:rPr>
          <w:rFonts w:ascii="Times New Roman" w:hAnsi="Times New Roman" w:cs="Times New Roman"/>
          <w:sz w:val="24"/>
          <w:szCs w:val="24"/>
        </w:rPr>
        <w:t xml:space="preserve">NRG has proposed narrow modifications to ensure </w:t>
      </w:r>
      <w:r>
        <w:rPr>
          <w:rFonts w:ascii="Times New Roman" w:hAnsi="Times New Roman" w:cs="Times New Roman"/>
          <w:sz w:val="24"/>
          <w:szCs w:val="24"/>
        </w:rPr>
        <w:t>the purpose</w:t>
      </w:r>
      <w:r w:rsidR="00A673C5">
        <w:rPr>
          <w:rFonts w:ascii="Times New Roman" w:hAnsi="Times New Roman" w:cs="Times New Roman"/>
          <w:sz w:val="24"/>
          <w:szCs w:val="24"/>
        </w:rPr>
        <w:t xml:space="preserve"> of making generation available even in high-cost fuel situations is </w:t>
      </w:r>
      <w:r>
        <w:rPr>
          <w:rFonts w:ascii="Times New Roman" w:hAnsi="Times New Roman" w:cs="Times New Roman"/>
          <w:sz w:val="24"/>
          <w:szCs w:val="24"/>
        </w:rPr>
        <w:t>otherwise achieved</w:t>
      </w:r>
      <w:r w:rsidR="009C24B5">
        <w:rPr>
          <w:rFonts w:ascii="Times New Roman" w:hAnsi="Times New Roman" w:cs="Times New Roman"/>
          <w:sz w:val="24"/>
          <w:szCs w:val="24"/>
        </w:rPr>
        <w:t xml:space="preserve">. </w:t>
      </w:r>
    </w:p>
    <w:p w14:paraId="735AC953" w14:textId="348B77C8" w:rsidR="008D19C9" w:rsidRDefault="008D19C9" w:rsidP="001552AD">
      <w:pPr>
        <w:pStyle w:val="ListParagraph"/>
        <w:numPr>
          <w:ilvl w:val="0"/>
          <w:numId w:val="2"/>
        </w:numPr>
        <w:spacing w:after="200" w:line="276" w:lineRule="auto"/>
        <w:jc w:val="center"/>
        <w:rPr>
          <w:rFonts w:ascii="Times New Roman" w:hAnsi="Times New Roman" w:cs="Times New Roman"/>
          <w:b/>
          <w:smallCaps/>
          <w:sz w:val="24"/>
          <w:szCs w:val="24"/>
        </w:rPr>
      </w:pPr>
      <w:r w:rsidRPr="00E8499C">
        <w:rPr>
          <w:rFonts w:ascii="Times New Roman" w:hAnsi="Times New Roman" w:cs="Times New Roman"/>
          <w:b/>
          <w:smallCaps/>
          <w:sz w:val="24"/>
          <w:szCs w:val="24"/>
        </w:rPr>
        <w:t xml:space="preserve">Responses to </w:t>
      </w:r>
      <w:r w:rsidR="003B22EF">
        <w:rPr>
          <w:rFonts w:ascii="Times New Roman" w:hAnsi="Times New Roman" w:cs="Times New Roman"/>
          <w:b/>
          <w:smallCaps/>
          <w:sz w:val="24"/>
          <w:szCs w:val="24"/>
        </w:rPr>
        <w:t xml:space="preserve">Proposals </w:t>
      </w:r>
      <w:r w:rsidR="00D82335">
        <w:rPr>
          <w:rFonts w:ascii="Times New Roman" w:hAnsi="Times New Roman" w:cs="Times New Roman"/>
          <w:b/>
          <w:smallCaps/>
          <w:sz w:val="24"/>
          <w:szCs w:val="24"/>
        </w:rPr>
        <w:t xml:space="preserve">Concerning </w:t>
      </w:r>
      <w:r w:rsidR="002B5EF5">
        <w:rPr>
          <w:rFonts w:ascii="Times New Roman" w:hAnsi="Times New Roman" w:cs="Times New Roman"/>
          <w:b/>
          <w:smallCaps/>
          <w:sz w:val="24"/>
          <w:szCs w:val="24"/>
        </w:rPr>
        <w:t xml:space="preserve">Question 2 </w:t>
      </w:r>
    </w:p>
    <w:p w14:paraId="7006C703" w14:textId="14F156B2" w:rsidR="008D19C9" w:rsidRPr="00E8499C" w:rsidRDefault="003B22EF" w:rsidP="008D19C9">
      <w:pPr>
        <w:pStyle w:val="ListParagraph"/>
        <w:numPr>
          <w:ilvl w:val="0"/>
          <w:numId w:val="1"/>
        </w:numPr>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NRG’s Proposal Concerning the Adjustment to the LCAP </w:t>
      </w:r>
      <w:r w:rsidR="002B5EF5">
        <w:rPr>
          <w:rFonts w:ascii="Times New Roman" w:hAnsi="Times New Roman" w:cs="Times New Roman"/>
          <w:b/>
          <w:bCs/>
          <w:sz w:val="24"/>
          <w:szCs w:val="24"/>
          <w:u w:val="single"/>
        </w:rPr>
        <w:t>is the Most Consistent with the Intent of the Established Circuit Breaker Concept</w:t>
      </w:r>
      <w:r w:rsidR="008D19C9" w:rsidRPr="00E8499C">
        <w:rPr>
          <w:rFonts w:ascii="Times New Roman" w:hAnsi="Times New Roman" w:cs="Times New Roman"/>
          <w:b/>
          <w:bCs/>
          <w:sz w:val="24"/>
          <w:szCs w:val="24"/>
          <w:u w:val="single"/>
        </w:rPr>
        <w:t xml:space="preserve"> </w:t>
      </w:r>
    </w:p>
    <w:p w14:paraId="76E4ABAA" w14:textId="5295BCDC" w:rsidR="00520ABB" w:rsidRDefault="00AF6337" w:rsidP="005C01BF">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NRG’s proposed rule modifications ensure the pricing circuit breaker concept embodied by the </w:t>
      </w:r>
      <w:r w:rsidRPr="00E8499C">
        <w:rPr>
          <w:rFonts w:ascii="Times New Roman" w:hAnsi="Times New Roman" w:cs="Times New Roman"/>
          <w:sz w:val="24"/>
          <w:szCs w:val="24"/>
        </w:rPr>
        <w:t>scarcity pricing mechanism</w:t>
      </w:r>
      <w:r>
        <w:rPr>
          <w:rFonts w:ascii="Times New Roman" w:hAnsi="Times New Roman" w:cs="Times New Roman"/>
          <w:sz w:val="24"/>
          <w:szCs w:val="24"/>
        </w:rPr>
        <w:t xml:space="preserve"> in </w:t>
      </w:r>
      <w:r w:rsidR="001E23C8">
        <w:rPr>
          <w:rFonts w:ascii="Times New Roman" w:hAnsi="Times New Roman" w:cs="Times New Roman"/>
          <w:sz w:val="24"/>
          <w:szCs w:val="24"/>
        </w:rPr>
        <w:t xml:space="preserve">16 </w:t>
      </w:r>
      <w:r>
        <w:rPr>
          <w:rFonts w:ascii="Times New Roman" w:hAnsi="Times New Roman" w:cs="Times New Roman"/>
          <w:sz w:val="24"/>
          <w:szCs w:val="24"/>
        </w:rPr>
        <w:t>T</w:t>
      </w:r>
      <w:r w:rsidRPr="00E8499C">
        <w:rPr>
          <w:rFonts w:ascii="Times New Roman" w:hAnsi="Times New Roman" w:cs="Times New Roman"/>
          <w:sz w:val="24"/>
          <w:szCs w:val="24"/>
        </w:rPr>
        <w:t>AC § 25.505(g</w:t>
      </w:r>
      <w:r>
        <w:rPr>
          <w:rFonts w:ascii="Times New Roman" w:hAnsi="Times New Roman" w:cs="Times New Roman"/>
          <w:sz w:val="24"/>
          <w:szCs w:val="24"/>
        </w:rPr>
        <w:t>) functions as intended.</w:t>
      </w:r>
      <w:r w:rsidR="004A133E">
        <w:rPr>
          <w:rStyle w:val="FootnoteReference"/>
          <w:rFonts w:ascii="Times New Roman" w:hAnsi="Times New Roman" w:cs="Times New Roman"/>
          <w:sz w:val="24"/>
          <w:szCs w:val="24"/>
        </w:rPr>
        <w:footnoteReference w:id="6"/>
      </w:r>
      <w:r>
        <w:rPr>
          <w:rFonts w:ascii="Times New Roman" w:hAnsi="Times New Roman" w:cs="Times New Roman"/>
          <w:sz w:val="24"/>
          <w:szCs w:val="24"/>
        </w:rPr>
        <w:t xml:space="preserve">  The high natural gas prices experienced during the February 2021 winter weather event exposed </w:t>
      </w:r>
      <w:r w:rsidR="00766D97">
        <w:rPr>
          <w:rFonts w:ascii="Times New Roman" w:hAnsi="Times New Roman" w:cs="Times New Roman"/>
          <w:sz w:val="24"/>
          <w:szCs w:val="24"/>
        </w:rPr>
        <w:t xml:space="preserve">the potential for LCAP to exceed HCAP.  </w:t>
      </w:r>
      <w:r w:rsidR="00A673C5">
        <w:rPr>
          <w:rFonts w:ascii="Times New Roman" w:hAnsi="Times New Roman" w:cs="Times New Roman"/>
          <w:sz w:val="24"/>
          <w:szCs w:val="24"/>
        </w:rPr>
        <w:t xml:space="preserve">Plainly it is contrary to the intent of a circuit breaker for </w:t>
      </w:r>
      <w:r w:rsidR="002F0B9B">
        <w:rPr>
          <w:rFonts w:ascii="Times New Roman" w:hAnsi="Times New Roman" w:cs="Times New Roman"/>
          <w:sz w:val="24"/>
          <w:szCs w:val="24"/>
        </w:rPr>
        <w:t>the</w:t>
      </w:r>
      <w:r w:rsidR="00A673C5">
        <w:rPr>
          <w:rFonts w:ascii="Times New Roman" w:hAnsi="Times New Roman" w:cs="Times New Roman"/>
          <w:sz w:val="24"/>
          <w:szCs w:val="24"/>
        </w:rPr>
        <w:t xml:space="preserve"> number designated by rule as “low” to exceed the number designated by the same rule as “high,” notwithstanding the complexity </w:t>
      </w:r>
      <w:r w:rsidR="00766D97">
        <w:rPr>
          <w:rFonts w:ascii="Times New Roman" w:hAnsi="Times New Roman" w:cs="Times New Roman"/>
          <w:sz w:val="24"/>
          <w:szCs w:val="24"/>
        </w:rPr>
        <w:t>in the calculation of LCAP</w:t>
      </w:r>
      <w:r w:rsidR="00A673C5">
        <w:rPr>
          <w:rFonts w:ascii="Times New Roman" w:hAnsi="Times New Roman" w:cs="Times New Roman"/>
          <w:sz w:val="24"/>
          <w:szCs w:val="24"/>
        </w:rPr>
        <w:t>.</w:t>
      </w:r>
      <w:r w:rsidR="006F4715">
        <w:rPr>
          <w:rStyle w:val="FootnoteReference"/>
          <w:rFonts w:ascii="Times New Roman" w:hAnsi="Times New Roman" w:cs="Times New Roman"/>
          <w:sz w:val="24"/>
          <w:szCs w:val="24"/>
        </w:rPr>
        <w:footnoteReference w:id="7"/>
      </w:r>
      <w:r w:rsidR="00766D97">
        <w:rPr>
          <w:rFonts w:ascii="Times New Roman" w:hAnsi="Times New Roman" w:cs="Times New Roman"/>
          <w:sz w:val="24"/>
          <w:szCs w:val="24"/>
        </w:rPr>
        <w:t xml:space="preserve"> </w:t>
      </w:r>
      <w:r w:rsidR="00414502">
        <w:rPr>
          <w:rFonts w:ascii="Times New Roman" w:hAnsi="Times New Roman" w:cs="Times New Roman"/>
          <w:sz w:val="24"/>
          <w:szCs w:val="24"/>
        </w:rPr>
        <w:t>Setting offer caps and VOLL at $2,000/MWh</w:t>
      </w:r>
      <w:r w:rsidR="00E66882">
        <w:rPr>
          <w:rFonts w:ascii="Times New Roman" w:hAnsi="Times New Roman" w:cs="Times New Roman"/>
          <w:sz w:val="24"/>
          <w:szCs w:val="24"/>
        </w:rPr>
        <w:t xml:space="preserve"> by removing the 50 times fuel index price component</w:t>
      </w:r>
      <w:r w:rsidR="00414502">
        <w:rPr>
          <w:rFonts w:ascii="Times New Roman" w:hAnsi="Times New Roman" w:cs="Times New Roman"/>
          <w:sz w:val="24"/>
          <w:szCs w:val="24"/>
        </w:rPr>
        <w:t xml:space="preserve"> </w:t>
      </w:r>
      <w:r w:rsidR="00A673C5">
        <w:rPr>
          <w:rFonts w:ascii="Times New Roman" w:hAnsi="Times New Roman" w:cs="Times New Roman"/>
          <w:sz w:val="24"/>
          <w:szCs w:val="24"/>
        </w:rPr>
        <w:t xml:space="preserve">while </w:t>
      </w:r>
      <w:r w:rsidR="00414502">
        <w:rPr>
          <w:rFonts w:ascii="Times New Roman" w:hAnsi="Times New Roman" w:cs="Times New Roman"/>
          <w:sz w:val="24"/>
          <w:szCs w:val="24"/>
        </w:rPr>
        <w:t xml:space="preserve">ensuring generators can </w:t>
      </w:r>
      <w:r w:rsidR="00A673C5">
        <w:rPr>
          <w:rFonts w:ascii="Times New Roman" w:hAnsi="Times New Roman" w:cs="Times New Roman"/>
          <w:sz w:val="24"/>
          <w:szCs w:val="24"/>
        </w:rPr>
        <w:t xml:space="preserve">nevertheless </w:t>
      </w:r>
      <w:r w:rsidR="00414502">
        <w:rPr>
          <w:rFonts w:ascii="Times New Roman" w:hAnsi="Times New Roman" w:cs="Times New Roman"/>
          <w:sz w:val="24"/>
          <w:szCs w:val="24"/>
        </w:rPr>
        <w:t>recover costs if they exceed $2,000/MWh best achieve</w:t>
      </w:r>
      <w:r w:rsidR="00360A04">
        <w:rPr>
          <w:rFonts w:ascii="Times New Roman" w:hAnsi="Times New Roman" w:cs="Times New Roman"/>
          <w:sz w:val="24"/>
          <w:szCs w:val="24"/>
        </w:rPr>
        <w:t>s</w:t>
      </w:r>
      <w:r w:rsidR="00414502">
        <w:rPr>
          <w:rFonts w:ascii="Times New Roman" w:hAnsi="Times New Roman" w:cs="Times New Roman"/>
          <w:sz w:val="24"/>
          <w:szCs w:val="24"/>
        </w:rPr>
        <w:t xml:space="preserve"> the objective of </w:t>
      </w:r>
      <w:r w:rsidR="009B1906">
        <w:rPr>
          <w:rFonts w:ascii="Times New Roman" w:hAnsi="Times New Roman" w:cs="Times New Roman"/>
          <w:sz w:val="24"/>
          <w:szCs w:val="24"/>
        </w:rPr>
        <w:t>the</w:t>
      </w:r>
      <w:r w:rsidR="00414502">
        <w:rPr>
          <w:rFonts w:ascii="Times New Roman" w:hAnsi="Times New Roman" w:cs="Times New Roman"/>
          <w:sz w:val="24"/>
          <w:szCs w:val="24"/>
        </w:rPr>
        <w:t xml:space="preserve"> pricing circuit breaker concept.  </w:t>
      </w:r>
      <w:r w:rsidR="00E66882">
        <w:rPr>
          <w:rFonts w:ascii="Times New Roman" w:hAnsi="Times New Roman" w:cs="Times New Roman"/>
          <w:sz w:val="24"/>
          <w:szCs w:val="24"/>
        </w:rPr>
        <w:t>A $2,000/MWh LCAP equates to a $200/MMBtu natural gas price for a</w:t>
      </w:r>
      <w:r w:rsidR="00A673C5">
        <w:rPr>
          <w:rFonts w:ascii="Times New Roman" w:hAnsi="Times New Roman" w:cs="Times New Roman"/>
          <w:sz w:val="24"/>
          <w:szCs w:val="24"/>
        </w:rPr>
        <w:t xml:space="preserve"> </w:t>
      </w:r>
      <w:r w:rsidR="00E66882">
        <w:rPr>
          <w:rFonts w:ascii="Times New Roman" w:hAnsi="Times New Roman" w:cs="Times New Roman"/>
          <w:sz w:val="24"/>
          <w:szCs w:val="24"/>
        </w:rPr>
        <w:lastRenderedPageBreak/>
        <w:t>generation resource</w:t>
      </w:r>
      <w:r w:rsidR="00A673C5">
        <w:rPr>
          <w:rFonts w:ascii="Times New Roman" w:hAnsi="Times New Roman" w:cs="Times New Roman"/>
          <w:sz w:val="24"/>
          <w:szCs w:val="24"/>
        </w:rPr>
        <w:t xml:space="preserve"> with a 10 </w:t>
      </w:r>
      <w:r w:rsidR="00692AF3">
        <w:rPr>
          <w:rFonts w:ascii="Times New Roman" w:hAnsi="Times New Roman" w:cs="Times New Roman"/>
          <w:sz w:val="24"/>
          <w:szCs w:val="24"/>
        </w:rPr>
        <w:t>MM</w:t>
      </w:r>
      <w:r w:rsidR="00A673C5">
        <w:rPr>
          <w:rFonts w:ascii="Times New Roman" w:hAnsi="Times New Roman" w:cs="Times New Roman"/>
          <w:sz w:val="24"/>
          <w:szCs w:val="24"/>
        </w:rPr>
        <w:t>Btu/</w:t>
      </w:r>
      <w:r w:rsidR="00692AF3">
        <w:rPr>
          <w:rFonts w:ascii="Times New Roman" w:hAnsi="Times New Roman" w:cs="Times New Roman"/>
          <w:sz w:val="24"/>
          <w:szCs w:val="24"/>
        </w:rPr>
        <w:t>M</w:t>
      </w:r>
      <w:r w:rsidR="00A673C5">
        <w:rPr>
          <w:rFonts w:ascii="Times New Roman" w:hAnsi="Times New Roman" w:cs="Times New Roman"/>
          <w:sz w:val="24"/>
          <w:szCs w:val="24"/>
        </w:rPr>
        <w:t>Wh heat rate</w:t>
      </w:r>
      <w:r w:rsidR="003A58A4">
        <w:rPr>
          <w:rFonts w:ascii="Times New Roman" w:hAnsi="Times New Roman" w:cs="Times New Roman"/>
          <w:sz w:val="24"/>
          <w:szCs w:val="24"/>
        </w:rPr>
        <w:t>,</w:t>
      </w:r>
      <w:r w:rsidR="00E66882">
        <w:rPr>
          <w:rFonts w:ascii="Times New Roman" w:hAnsi="Times New Roman" w:cs="Times New Roman"/>
          <w:sz w:val="24"/>
          <w:szCs w:val="24"/>
        </w:rPr>
        <w:t xml:space="preserve"> which should be a rare occurrence and be sufficient to cover generator costs in most instances.  In the rare case it does not, generators should be able to recover their costs including a modest margin.</w:t>
      </w:r>
    </w:p>
    <w:p w14:paraId="60917726" w14:textId="7C1EDE8E" w:rsidR="009B1906" w:rsidRPr="00E8499C" w:rsidRDefault="00721AD5" w:rsidP="005C01BF">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Many of the other commenters</w:t>
      </w:r>
      <w:r w:rsidR="00587D17">
        <w:rPr>
          <w:rFonts w:ascii="Times New Roman" w:hAnsi="Times New Roman" w:cs="Times New Roman"/>
          <w:sz w:val="24"/>
          <w:szCs w:val="24"/>
        </w:rPr>
        <w:t>’</w:t>
      </w:r>
      <w:r>
        <w:rPr>
          <w:rFonts w:ascii="Times New Roman" w:hAnsi="Times New Roman" w:cs="Times New Roman"/>
          <w:sz w:val="24"/>
          <w:szCs w:val="24"/>
        </w:rPr>
        <w:t xml:space="preserve"> </w:t>
      </w:r>
      <w:r w:rsidR="00587D17">
        <w:rPr>
          <w:rFonts w:ascii="Times New Roman" w:hAnsi="Times New Roman" w:cs="Times New Roman"/>
          <w:sz w:val="24"/>
          <w:szCs w:val="24"/>
        </w:rPr>
        <w:t xml:space="preserve">proposals included </w:t>
      </w:r>
      <w:r>
        <w:rPr>
          <w:rFonts w:ascii="Times New Roman" w:hAnsi="Times New Roman" w:cs="Times New Roman"/>
          <w:sz w:val="24"/>
          <w:szCs w:val="24"/>
        </w:rPr>
        <w:t>a rule change to ensure LCAP does not exceed HCAP.</w:t>
      </w:r>
      <w:r>
        <w:rPr>
          <w:rStyle w:val="FootnoteReference"/>
          <w:rFonts w:ascii="Times New Roman" w:hAnsi="Times New Roman" w:cs="Times New Roman"/>
          <w:sz w:val="24"/>
          <w:szCs w:val="24"/>
        </w:rPr>
        <w:footnoteReference w:id="8"/>
      </w:r>
      <w:r>
        <w:rPr>
          <w:rFonts w:ascii="Times New Roman" w:hAnsi="Times New Roman" w:cs="Times New Roman"/>
          <w:sz w:val="24"/>
          <w:szCs w:val="24"/>
        </w:rPr>
        <w:t xml:space="preserve">  </w:t>
      </w:r>
      <w:r w:rsidR="00750A91">
        <w:rPr>
          <w:rFonts w:ascii="Times New Roman" w:hAnsi="Times New Roman" w:cs="Times New Roman"/>
          <w:sz w:val="24"/>
          <w:szCs w:val="24"/>
        </w:rPr>
        <w:t xml:space="preserve">While ensuring LCAP </w:t>
      </w:r>
      <w:r w:rsidR="003A58A4">
        <w:rPr>
          <w:rFonts w:ascii="Times New Roman" w:hAnsi="Times New Roman" w:cs="Times New Roman"/>
          <w:sz w:val="24"/>
          <w:szCs w:val="24"/>
        </w:rPr>
        <w:t xml:space="preserve">cannot </w:t>
      </w:r>
      <w:r w:rsidR="00750A91">
        <w:rPr>
          <w:rFonts w:ascii="Times New Roman" w:hAnsi="Times New Roman" w:cs="Times New Roman"/>
          <w:sz w:val="24"/>
          <w:szCs w:val="24"/>
        </w:rPr>
        <w:t>exceed $9,000/MWh, these proposals could still result in high offer caps and prices which undermines the objective of a pricing circuit breaker.  In addition, if natural gas prices were elevated to the point where fuel costs for generators exceeded $9,000/MWh, gas-fired generators could be forced to operate at a financial loss or shut down.</w:t>
      </w:r>
      <w:r w:rsidR="00DF0C7B">
        <w:rPr>
          <w:rFonts w:ascii="Times New Roman" w:hAnsi="Times New Roman" w:cs="Times New Roman"/>
          <w:sz w:val="24"/>
          <w:szCs w:val="24"/>
        </w:rPr>
        <w:t xml:space="preserve">  If the </w:t>
      </w:r>
      <w:r w:rsidR="00E743B5">
        <w:rPr>
          <w:rFonts w:ascii="Times New Roman" w:hAnsi="Times New Roman" w:cs="Times New Roman"/>
          <w:sz w:val="24"/>
          <w:szCs w:val="24"/>
        </w:rPr>
        <w:t xml:space="preserve">Public Utility </w:t>
      </w:r>
      <w:r w:rsidR="00DF0C7B">
        <w:rPr>
          <w:rFonts w:ascii="Times New Roman" w:hAnsi="Times New Roman" w:cs="Times New Roman"/>
          <w:sz w:val="24"/>
          <w:szCs w:val="24"/>
        </w:rPr>
        <w:t>Commission</w:t>
      </w:r>
      <w:r w:rsidR="00E743B5">
        <w:rPr>
          <w:rFonts w:ascii="Times New Roman" w:hAnsi="Times New Roman" w:cs="Times New Roman"/>
          <w:sz w:val="24"/>
          <w:szCs w:val="24"/>
        </w:rPr>
        <w:t xml:space="preserve"> (“Commission”)</w:t>
      </w:r>
      <w:r w:rsidR="00DF0C7B">
        <w:rPr>
          <w:rFonts w:ascii="Times New Roman" w:hAnsi="Times New Roman" w:cs="Times New Roman"/>
          <w:sz w:val="24"/>
          <w:szCs w:val="24"/>
        </w:rPr>
        <w:t xml:space="preserve"> supported this type of approach to limit LCAP at HCAP, NRG would encourage the inclusion of a make whole settlement mechanism for generator cost recovery proposed</w:t>
      </w:r>
      <w:r w:rsidR="00692AF3">
        <w:rPr>
          <w:rFonts w:ascii="Times New Roman" w:hAnsi="Times New Roman" w:cs="Times New Roman"/>
          <w:sz w:val="24"/>
          <w:szCs w:val="24"/>
        </w:rPr>
        <w:t xml:space="preserve"> below</w:t>
      </w:r>
      <w:r w:rsidR="00DF0C7B">
        <w:rPr>
          <w:rFonts w:ascii="Times New Roman" w:hAnsi="Times New Roman" w:cs="Times New Roman"/>
          <w:sz w:val="24"/>
          <w:szCs w:val="24"/>
        </w:rPr>
        <w:t>.</w:t>
      </w:r>
    </w:p>
    <w:p w14:paraId="671622A2" w14:textId="614006B7" w:rsidR="008D19C9" w:rsidRPr="00E8499C" w:rsidRDefault="00D82335" w:rsidP="008D19C9">
      <w:pPr>
        <w:pStyle w:val="ListParagraph"/>
        <w:numPr>
          <w:ilvl w:val="0"/>
          <w:numId w:val="1"/>
        </w:numPr>
        <w:contextualSpacing w:val="0"/>
        <w:rPr>
          <w:rFonts w:ascii="Times New Roman" w:hAnsi="Times New Roman" w:cs="Times New Roman"/>
          <w:b/>
          <w:bCs/>
          <w:sz w:val="24"/>
          <w:szCs w:val="24"/>
          <w:u w:val="single"/>
        </w:rPr>
      </w:pPr>
      <w:r>
        <w:rPr>
          <w:rFonts w:ascii="Times New Roman" w:hAnsi="Times New Roman" w:cs="Times New Roman"/>
          <w:b/>
          <w:bCs/>
          <w:sz w:val="24"/>
          <w:szCs w:val="24"/>
          <w:u w:val="single"/>
        </w:rPr>
        <w:t>Proposals Concerning a Temporary LCAP Would be Difficult to Manage</w:t>
      </w:r>
    </w:p>
    <w:p w14:paraId="55E7DBDD" w14:textId="664F4DFC" w:rsidR="00DF0C7B" w:rsidRDefault="00DF0C7B" w:rsidP="00E312D2">
      <w:pPr>
        <w:pStyle w:val="ListParagraph"/>
        <w:spacing w:after="240" w:line="360" w:lineRule="auto"/>
        <w:ind w:left="0" w:firstLine="360"/>
        <w:contextualSpacing w:val="0"/>
        <w:jc w:val="both"/>
        <w:rPr>
          <w:rFonts w:ascii="Times New Roman" w:hAnsi="Times New Roman" w:cs="Times New Roman"/>
          <w:sz w:val="24"/>
          <w:szCs w:val="24"/>
        </w:rPr>
      </w:pPr>
      <w:r>
        <w:rPr>
          <w:rFonts w:ascii="Times New Roman" w:hAnsi="Times New Roman" w:cs="Times New Roman"/>
          <w:sz w:val="24"/>
          <w:szCs w:val="24"/>
        </w:rPr>
        <w:t xml:space="preserve">A few commenters proposed an event-based or temporary LCAP </w:t>
      </w:r>
      <w:r w:rsidR="00AB54F1">
        <w:rPr>
          <w:rFonts w:ascii="Times New Roman" w:hAnsi="Times New Roman" w:cs="Times New Roman"/>
          <w:sz w:val="24"/>
          <w:szCs w:val="24"/>
        </w:rPr>
        <w:t xml:space="preserve">mechanism that would implement the LCAP on a temporary basis </w:t>
      </w:r>
      <w:r w:rsidR="004B1F1C">
        <w:rPr>
          <w:rFonts w:ascii="Times New Roman" w:hAnsi="Times New Roman" w:cs="Times New Roman"/>
          <w:sz w:val="24"/>
          <w:szCs w:val="24"/>
        </w:rPr>
        <w:t>after</w:t>
      </w:r>
      <w:r w:rsidR="00AB54F1">
        <w:rPr>
          <w:rFonts w:ascii="Times New Roman" w:hAnsi="Times New Roman" w:cs="Times New Roman"/>
          <w:sz w:val="24"/>
          <w:szCs w:val="24"/>
        </w:rPr>
        <w:t xml:space="preserve"> certain </w:t>
      </w:r>
      <w:r w:rsidR="004B1F1C">
        <w:rPr>
          <w:rFonts w:ascii="Times New Roman" w:hAnsi="Times New Roman" w:cs="Times New Roman"/>
          <w:sz w:val="24"/>
          <w:szCs w:val="24"/>
        </w:rPr>
        <w:t>criteria was met.</w:t>
      </w:r>
      <w:r w:rsidR="00E312D2">
        <w:rPr>
          <w:rStyle w:val="FootnoteReference"/>
          <w:rFonts w:ascii="Times New Roman" w:hAnsi="Times New Roman" w:cs="Times New Roman"/>
          <w:sz w:val="24"/>
          <w:szCs w:val="24"/>
        </w:rPr>
        <w:footnoteReference w:id="9"/>
      </w:r>
      <w:r w:rsidR="004B1F1C">
        <w:rPr>
          <w:rFonts w:ascii="Times New Roman" w:hAnsi="Times New Roman" w:cs="Times New Roman"/>
          <w:sz w:val="24"/>
          <w:szCs w:val="24"/>
        </w:rPr>
        <w:t xml:space="preserve">  For example, TIEC proposed to implement a $2,000/MWh LCAP if EEA3 was experienced for 10 hours within a 48-hour period</w:t>
      </w:r>
      <w:r w:rsidR="000E0CD7">
        <w:rPr>
          <w:rFonts w:ascii="Times New Roman" w:hAnsi="Times New Roman" w:cs="Times New Roman"/>
          <w:sz w:val="24"/>
          <w:szCs w:val="24"/>
        </w:rPr>
        <w:t xml:space="preserve"> and only if ordered by the Commission</w:t>
      </w:r>
      <w:r w:rsidR="004B1F1C">
        <w:rPr>
          <w:rFonts w:ascii="Times New Roman" w:hAnsi="Times New Roman" w:cs="Times New Roman"/>
          <w:sz w:val="24"/>
          <w:szCs w:val="24"/>
        </w:rPr>
        <w:t>.</w:t>
      </w:r>
      <w:r w:rsidR="00E63B4D">
        <w:rPr>
          <w:rStyle w:val="FootnoteReference"/>
          <w:rFonts w:ascii="Times New Roman" w:hAnsi="Times New Roman" w:cs="Times New Roman"/>
          <w:sz w:val="24"/>
          <w:szCs w:val="24"/>
        </w:rPr>
        <w:footnoteReference w:id="10"/>
      </w:r>
      <w:r w:rsidR="004B1F1C">
        <w:rPr>
          <w:rFonts w:ascii="Times New Roman" w:hAnsi="Times New Roman" w:cs="Times New Roman"/>
          <w:sz w:val="24"/>
          <w:szCs w:val="24"/>
        </w:rPr>
        <w:t xml:space="preserve">  Under these proposals, HCAP would be restored at a later time either based on Commission discretion or some other criteria.  While more limited in nature, these temporary LCAP proposals would result in substantial price volatility</w:t>
      </w:r>
      <w:r w:rsidR="00A36599">
        <w:rPr>
          <w:rFonts w:ascii="Times New Roman" w:hAnsi="Times New Roman" w:cs="Times New Roman"/>
          <w:sz w:val="24"/>
          <w:szCs w:val="24"/>
        </w:rPr>
        <w:t xml:space="preserve"> in the forward bilateral markets</w:t>
      </w:r>
      <w:r w:rsidR="004B1F1C">
        <w:rPr>
          <w:rFonts w:ascii="Times New Roman" w:hAnsi="Times New Roman" w:cs="Times New Roman"/>
          <w:sz w:val="24"/>
          <w:szCs w:val="24"/>
        </w:rPr>
        <w:t xml:space="preserve"> </w:t>
      </w:r>
      <w:r w:rsidR="008D0FA6">
        <w:rPr>
          <w:rFonts w:ascii="Times New Roman" w:hAnsi="Times New Roman" w:cs="Times New Roman"/>
          <w:sz w:val="24"/>
          <w:szCs w:val="24"/>
        </w:rPr>
        <w:t xml:space="preserve">and increase the difficulty </w:t>
      </w:r>
      <w:r w:rsidR="00A36599">
        <w:rPr>
          <w:rFonts w:ascii="Times New Roman" w:hAnsi="Times New Roman" w:cs="Times New Roman"/>
          <w:sz w:val="24"/>
          <w:szCs w:val="24"/>
        </w:rPr>
        <w:t>of</w:t>
      </w:r>
      <w:r w:rsidR="008D0FA6">
        <w:rPr>
          <w:rFonts w:ascii="Times New Roman" w:hAnsi="Times New Roman" w:cs="Times New Roman"/>
          <w:sz w:val="24"/>
          <w:szCs w:val="24"/>
        </w:rPr>
        <w:t xml:space="preserve"> hedging in a market that already suffers from poor liquidity</w:t>
      </w:r>
      <w:r w:rsidR="00E312D2">
        <w:rPr>
          <w:rFonts w:ascii="Times New Roman" w:hAnsi="Times New Roman" w:cs="Times New Roman"/>
          <w:sz w:val="24"/>
          <w:szCs w:val="24"/>
        </w:rPr>
        <w:t>,</w:t>
      </w:r>
      <w:r w:rsidR="008D0FA6">
        <w:rPr>
          <w:rFonts w:ascii="Times New Roman" w:hAnsi="Times New Roman" w:cs="Times New Roman"/>
          <w:sz w:val="24"/>
          <w:szCs w:val="24"/>
        </w:rPr>
        <w:t xml:space="preserve"> especially during scarcity pricing events.  During the week of February 15</w:t>
      </w:r>
      <w:r w:rsidR="008D0FA6" w:rsidRPr="008D0FA6">
        <w:rPr>
          <w:rFonts w:ascii="Times New Roman" w:hAnsi="Times New Roman" w:cs="Times New Roman"/>
          <w:sz w:val="24"/>
          <w:szCs w:val="24"/>
          <w:vertAlign w:val="superscript"/>
        </w:rPr>
        <w:t>th</w:t>
      </w:r>
      <w:r w:rsidR="008D0FA6">
        <w:rPr>
          <w:rFonts w:ascii="Times New Roman" w:hAnsi="Times New Roman" w:cs="Times New Roman"/>
          <w:sz w:val="24"/>
          <w:szCs w:val="24"/>
        </w:rPr>
        <w:t xml:space="preserve">, 2021, NRG </w:t>
      </w:r>
      <w:r w:rsidR="00767109">
        <w:rPr>
          <w:rFonts w:ascii="Times New Roman" w:hAnsi="Times New Roman" w:cs="Times New Roman"/>
          <w:sz w:val="24"/>
          <w:szCs w:val="24"/>
        </w:rPr>
        <w:t xml:space="preserve">observed significant price volatility as the PNM threshold was reached and the Commission suspended the application of the LCAP.  A temporary or </w:t>
      </w:r>
      <w:r w:rsidR="00240624">
        <w:rPr>
          <w:rFonts w:ascii="Times New Roman" w:hAnsi="Times New Roman" w:cs="Times New Roman"/>
          <w:sz w:val="24"/>
          <w:szCs w:val="24"/>
        </w:rPr>
        <w:t>event</w:t>
      </w:r>
      <w:r w:rsidR="00ED1C97">
        <w:rPr>
          <w:rFonts w:ascii="Times New Roman" w:hAnsi="Times New Roman" w:cs="Times New Roman"/>
          <w:sz w:val="24"/>
          <w:szCs w:val="24"/>
        </w:rPr>
        <w:t>-</w:t>
      </w:r>
      <w:r w:rsidR="00240624">
        <w:rPr>
          <w:rFonts w:ascii="Times New Roman" w:hAnsi="Times New Roman" w:cs="Times New Roman"/>
          <w:sz w:val="24"/>
          <w:szCs w:val="24"/>
        </w:rPr>
        <w:t>based</w:t>
      </w:r>
      <w:r w:rsidR="00767109">
        <w:rPr>
          <w:rFonts w:ascii="Times New Roman" w:hAnsi="Times New Roman" w:cs="Times New Roman"/>
          <w:sz w:val="24"/>
          <w:szCs w:val="24"/>
        </w:rPr>
        <w:t xml:space="preserve"> LCAP mechanism would require market participants to estimate the duration of a more fleeting scarcity </w:t>
      </w:r>
      <w:r w:rsidR="00767109">
        <w:rPr>
          <w:rFonts w:ascii="Times New Roman" w:hAnsi="Times New Roman" w:cs="Times New Roman"/>
          <w:sz w:val="24"/>
          <w:szCs w:val="24"/>
        </w:rPr>
        <w:lastRenderedPageBreak/>
        <w:t xml:space="preserve">pricing event and the timing of when the HCAP would resume, which </w:t>
      </w:r>
      <w:r w:rsidR="00240624">
        <w:rPr>
          <w:rFonts w:ascii="Times New Roman" w:hAnsi="Times New Roman" w:cs="Times New Roman"/>
          <w:sz w:val="24"/>
          <w:szCs w:val="24"/>
        </w:rPr>
        <w:t>c</w:t>
      </w:r>
      <w:r w:rsidR="00767109">
        <w:rPr>
          <w:rFonts w:ascii="Times New Roman" w:hAnsi="Times New Roman" w:cs="Times New Roman"/>
          <w:sz w:val="24"/>
          <w:szCs w:val="24"/>
        </w:rPr>
        <w:t>ould be subjective.  These are both difficult to predict and would increase</w:t>
      </w:r>
      <w:r w:rsidR="00A36599">
        <w:rPr>
          <w:rFonts w:ascii="Times New Roman" w:hAnsi="Times New Roman" w:cs="Times New Roman"/>
          <w:sz w:val="24"/>
          <w:szCs w:val="24"/>
        </w:rPr>
        <w:t xml:space="preserve"> volatility in the bilateral markets which result in increased transaction costs.  </w:t>
      </w:r>
      <w:r w:rsidR="003A58A4">
        <w:rPr>
          <w:rFonts w:ascii="Times New Roman" w:hAnsi="Times New Roman" w:cs="Times New Roman"/>
          <w:sz w:val="24"/>
          <w:szCs w:val="24"/>
        </w:rPr>
        <w:t>NRG does not necessarily oppose a more sophisticated scarcity-pricing mechanism</w:t>
      </w:r>
      <w:r w:rsidR="00ED1C97">
        <w:rPr>
          <w:rFonts w:ascii="Times New Roman" w:hAnsi="Times New Roman" w:cs="Times New Roman"/>
          <w:sz w:val="24"/>
          <w:szCs w:val="24"/>
        </w:rPr>
        <w:t>, but</w:t>
      </w:r>
      <w:r w:rsidR="003A58A4">
        <w:rPr>
          <w:rFonts w:ascii="Times New Roman" w:hAnsi="Times New Roman" w:cs="Times New Roman"/>
          <w:sz w:val="24"/>
          <w:szCs w:val="24"/>
        </w:rPr>
        <w:t xml:space="preserve"> these questions should be left for a more comprehensive undertaking and not done in a one-off manner for the coming summer season.   </w:t>
      </w:r>
      <w:r w:rsidR="00A36599">
        <w:rPr>
          <w:rFonts w:ascii="Times New Roman" w:hAnsi="Times New Roman" w:cs="Times New Roman"/>
          <w:sz w:val="24"/>
          <w:szCs w:val="24"/>
        </w:rPr>
        <w:t>For those reasons, NRG opposes a temporary or event-based LCAP mechanism.</w:t>
      </w:r>
    </w:p>
    <w:p w14:paraId="55DB3EDE" w14:textId="571D7E8F" w:rsidR="009552CC" w:rsidRPr="00ED1C97" w:rsidRDefault="002A7B33" w:rsidP="00ED1C97">
      <w:pPr>
        <w:pStyle w:val="ListParagraph"/>
        <w:keepNext/>
        <w:numPr>
          <w:ilvl w:val="0"/>
          <w:numId w:val="1"/>
        </w:numPr>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TIEC’s </w:t>
      </w:r>
      <w:r w:rsidR="00686B8B">
        <w:rPr>
          <w:rFonts w:ascii="Times New Roman" w:hAnsi="Times New Roman" w:cs="Times New Roman"/>
          <w:b/>
          <w:bCs/>
          <w:sz w:val="24"/>
          <w:szCs w:val="24"/>
          <w:u w:val="single"/>
        </w:rPr>
        <w:t xml:space="preserve">Generator Cost Recovery Mechanism </w:t>
      </w:r>
      <w:r>
        <w:rPr>
          <w:rFonts w:ascii="Times New Roman" w:hAnsi="Times New Roman" w:cs="Times New Roman"/>
          <w:b/>
          <w:bCs/>
          <w:sz w:val="24"/>
          <w:szCs w:val="24"/>
          <w:u w:val="single"/>
        </w:rPr>
        <w:t xml:space="preserve">Should be Adopted as an Important </w:t>
      </w:r>
      <w:r w:rsidR="00FA45FA">
        <w:rPr>
          <w:rFonts w:ascii="Times New Roman" w:hAnsi="Times New Roman" w:cs="Times New Roman"/>
          <w:b/>
          <w:bCs/>
          <w:sz w:val="24"/>
          <w:szCs w:val="24"/>
          <w:u w:val="single"/>
        </w:rPr>
        <w:t>Revision to the Scarcity Pricing Mechanism</w:t>
      </w:r>
    </w:p>
    <w:p w14:paraId="1BB54A3D" w14:textId="5B78BC28" w:rsidR="009552CC" w:rsidRDefault="00A36599" w:rsidP="00714DBD">
      <w:pPr>
        <w:spacing w:after="240" w:line="36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NRG </w:t>
      </w:r>
      <w:r w:rsidR="00BC70DC">
        <w:rPr>
          <w:rFonts w:ascii="Times New Roman" w:hAnsi="Times New Roman" w:cs="Times New Roman"/>
          <w:sz w:val="24"/>
          <w:szCs w:val="24"/>
        </w:rPr>
        <w:t>agrees with TIEC’s comments regarding the design of a generator cost recovery mechanism.</w:t>
      </w:r>
      <w:r w:rsidR="00C956ED">
        <w:rPr>
          <w:rStyle w:val="FootnoteReference"/>
          <w:rFonts w:ascii="Times New Roman" w:hAnsi="Times New Roman" w:cs="Times New Roman"/>
          <w:sz w:val="24"/>
          <w:szCs w:val="24"/>
        </w:rPr>
        <w:footnoteReference w:id="11"/>
      </w:r>
      <w:r w:rsidR="00BC70DC">
        <w:rPr>
          <w:rFonts w:ascii="Times New Roman" w:hAnsi="Times New Roman" w:cs="Times New Roman"/>
          <w:sz w:val="24"/>
          <w:szCs w:val="24"/>
        </w:rPr>
        <w:t xml:space="preserve">  To ensure the LCAP acts as a price circuit breaker, both NRG and TIEC propose to set LCAP equal to $2,000/MWh and include a cost recovery mechanism in the rare case </w:t>
      </w:r>
      <w:r w:rsidR="001334B1">
        <w:rPr>
          <w:rFonts w:ascii="Times New Roman" w:hAnsi="Times New Roman" w:cs="Times New Roman"/>
          <w:sz w:val="24"/>
          <w:szCs w:val="24"/>
        </w:rPr>
        <w:t xml:space="preserve">operating </w:t>
      </w:r>
      <w:r w:rsidR="00BC70DC">
        <w:rPr>
          <w:rFonts w:ascii="Times New Roman" w:hAnsi="Times New Roman" w:cs="Times New Roman"/>
          <w:sz w:val="24"/>
          <w:szCs w:val="24"/>
        </w:rPr>
        <w:t>costs exceed this amount.  While NRG does not support the temporary</w:t>
      </w:r>
      <w:r w:rsidR="00ED1C97">
        <w:rPr>
          <w:rFonts w:ascii="Times New Roman" w:hAnsi="Times New Roman" w:cs="Times New Roman"/>
          <w:sz w:val="24"/>
          <w:szCs w:val="24"/>
        </w:rPr>
        <w:t xml:space="preserve"> or event-based</w:t>
      </w:r>
      <w:r w:rsidR="00BC70DC">
        <w:rPr>
          <w:rFonts w:ascii="Times New Roman" w:hAnsi="Times New Roman" w:cs="Times New Roman"/>
          <w:sz w:val="24"/>
          <w:szCs w:val="24"/>
        </w:rPr>
        <w:t xml:space="preserve"> LCAP structure</w:t>
      </w:r>
      <w:r w:rsidR="00000F82">
        <w:rPr>
          <w:rFonts w:ascii="Times New Roman" w:hAnsi="Times New Roman" w:cs="Times New Roman"/>
          <w:sz w:val="24"/>
          <w:szCs w:val="24"/>
        </w:rPr>
        <w:t xml:space="preserve"> as discussed above</w:t>
      </w:r>
      <w:r w:rsidR="00BC70DC">
        <w:rPr>
          <w:rFonts w:ascii="Times New Roman" w:hAnsi="Times New Roman" w:cs="Times New Roman"/>
          <w:sz w:val="24"/>
          <w:szCs w:val="24"/>
        </w:rPr>
        <w:t>, TIEC’s design of the cost recovery mechanism includes important performance incentives that may be needed if a period of high gas prices occur</w:t>
      </w:r>
      <w:r w:rsidR="00714DBD">
        <w:rPr>
          <w:rFonts w:ascii="Times New Roman" w:hAnsi="Times New Roman" w:cs="Times New Roman"/>
          <w:sz w:val="24"/>
          <w:szCs w:val="24"/>
        </w:rPr>
        <w:t>s</w:t>
      </w:r>
      <w:r w:rsidR="00BC70DC">
        <w:rPr>
          <w:rFonts w:ascii="Times New Roman" w:hAnsi="Times New Roman" w:cs="Times New Roman"/>
          <w:sz w:val="24"/>
          <w:szCs w:val="24"/>
        </w:rPr>
        <w:t xml:space="preserve">.  In their comments, TIEC suggests </w:t>
      </w:r>
      <w:r w:rsidR="00C33DF5">
        <w:rPr>
          <w:rFonts w:ascii="Times New Roman" w:hAnsi="Times New Roman" w:cs="Times New Roman"/>
          <w:sz w:val="24"/>
          <w:szCs w:val="24"/>
        </w:rPr>
        <w:t>“</w:t>
      </w:r>
      <w:r w:rsidR="00C33DF5" w:rsidRPr="00C33DF5">
        <w:rPr>
          <w:rFonts w:ascii="Times New Roman" w:hAnsi="Times New Roman" w:cs="Times New Roman"/>
          <w:sz w:val="24"/>
          <w:szCs w:val="24"/>
        </w:rPr>
        <w:t>ERCOT shall implement a process for reimbursing generation owners for any actual marginal costs, plus a reasonable margin to incentivize performance, in excess of LCAP revenues.</w:t>
      </w:r>
      <w:r w:rsidR="00C33DF5">
        <w:rPr>
          <w:rFonts w:ascii="Times New Roman" w:hAnsi="Times New Roman" w:cs="Times New Roman"/>
          <w:sz w:val="24"/>
          <w:szCs w:val="24"/>
        </w:rPr>
        <w:t>”</w:t>
      </w:r>
      <w:r w:rsidR="005D748F">
        <w:rPr>
          <w:rStyle w:val="FootnoteReference"/>
          <w:rFonts w:ascii="Times New Roman" w:hAnsi="Times New Roman" w:cs="Times New Roman"/>
          <w:sz w:val="24"/>
          <w:szCs w:val="24"/>
        </w:rPr>
        <w:footnoteReference w:id="12"/>
      </w:r>
      <w:r w:rsidR="00C33DF5">
        <w:rPr>
          <w:rFonts w:ascii="Times New Roman" w:hAnsi="Times New Roman" w:cs="Times New Roman"/>
          <w:sz w:val="24"/>
          <w:szCs w:val="24"/>
        </w:rPr>
        <w:t xml:space="preserve">  NRG supports this design and encourages the Commission to adopt this concept as part of a cost recovery mechanism.</w:t>
      </w:r>
      <w:r w:rsidR="00714DBD">
        <w:rPr>
          <w:rFonts w:ascii="Times New Roman" w:hAnsi="Times New Roman" w:cs="Times New Roman"/>
          <w:sz w:val="24"/>
          <w:szCs w:val="24"/>
        </w:rPr>
        <w:t xml:space="preserve">  </w:t>
      </w:r>
    </w:p>
    <w:p w14:paraId="08DDF4E7" w14:textId="2F31637A" w:rsidR="00C33DF5" w:rsidRDefault="00C33DF5" w:rsidP="004E768F">
      <w:pPr>
        <w:pStyle w:val="ListParagraph"/>
        <w:numPr>
          <w:ilvl w:val="0"/>
          <w:numId w:val="2"/>
        </w:numPr>
        <w:spacing w:after="200" w:line="276" w:lineRule="auto"/>
        <w:jc w:val="center"/>
        <w:rPr>
          <w:rFonts w:ascii="Times New Roman" w:hAnsi="Times New Roman" w:cs="Times New Roman"/>
          <w:b/>
          <w:smallCaps/>
          <w:sz w:val="24"/>
          <w:szCs w:val="24"/>
        </w:rPr>
      </w:pPr>
      <w:r>
        <w:rPr>
          <w:rFonts w:ascii="Times New Roman" w:hAnsi="Times New Roman" w:cs="Times New Roman"/>
          <w:b/>
          <w:smallCaps/>
          <w:sz w:val="24"/>
          <w:szCs w:val="24"/>
        </w:rPr>
        <w:t>Proposed Rule Changes</w:t>
      </w:r>
    </w:p>
    <w:p w14:paraId="78D1D222" w14:textId="20DC6C85" w:rsidR="00714DBD" w:rsidRDefault="00714DBD" w:rsidP="00EA1653">
      <w:pPr>
        <w:spacing w:after="0" w:line="360" w:lineRule="auto"/>
        <w:ind w:firstLine="360"/>
        <w:jc w:val="both"/>
        <w:rPr>
          <w:rFonts w:ascii="Times New Roman" w:hAnsi="Times New Roman" w:cs="Times New Roman"/>
        </w:rPr>
      </w:pPr>
      <w:r w:rsidRPr="00EA1653">
        <w:rPr>
          <w:rFonts w:ascii="Times New Roman" w:hAnsi="Times New Roman" w:cs="Times New Roman"/>
          <w:sz w:val="24"/>
          <w:szCs w:val="24"/>
        </w:rPr>
        <w:t>The following</w:t>
      </w:r>
      <w:r w:rsidR="004B667C" w:rsidRPr="00EA1653">
        <w:rPr>
          <w:rFonts w:ascii="Times New Roman" w:hAnsi="Times New Roman" w:cs="Times New Roman"/>
          <w:sz w:val="24"/>
          <w:szCs w:val="24"/>
        </w:rPr>
        <w:t xml:space="preserve"> proposed rule changes reflect</w:t>
      </w:r>
      <w:r w:rsidR="00975008">
        <w:rPr>
          <w:rFonts w:ascii="Times New Roman" w:hAnsi="Times New Roman" w:cs="Times New Roman"/>
          <w:sz w:val="24"/>
          <w:szCs w:val="24"/>
        </w:rPr>
        <w:t xml:space="preserve"> the</w:t>
      </w:r>
      <w:r w:rsidR="004B667C" w:rsidRPr="00EA1653">
        <w:rPr>
          <w:rFonts w:ascii="Times New Roman" w:hAnsi="Times New Roman" w:cs="Times New Roman"/>
          <w:sz w:val="24"/>
          <w:szCs w:val="24"/>
        </w:rPr>
        <w:t xml:space="preserve"> propos</w:t>
      </w:r>
      <w:r w:rsidR="00975008">
        <w:rPr>
          <w:rFonts w:ascii="Times New Roman" w:hAnsi="Times New Roman" w:cs="Times New Roman"/>
          <w:sz w:val="24"/>
          <w:szCs w:val="24"/>
        </w:rPr>
        <w:t>al</w:t>
      </w:r>
      <w:r w:rsidR="004B667C" w:rsidRPr="00EA1653">
        <w:rPr>
          <w:rFonts w:ascii="Times New Roman" w:hAnsi="Times New Roman" w:cs="Times New Roman"/>
          <w:sz w:val="24"/>
          <w:szCs w:val="24"/>
        </w:rPr>
        <w:t xml:space="preserve"> by NRG in its initial comments</w:t>
      </w:r>
      <w:r w:rsidR="00072182" w:rsidRPr="00EA1653">
        <w:rPr>
          <w:rFonts w:ascii="Times New Roman" w:hAnsi="Times New Roman" w:cs="Times New Roman"/>
          <w:sz w:val="24"/>
          <w:szCs w:val="24"/>
        </w:rPr>
        <w:t xml:space="preserve">, as modified to incorporate the </w:t>
      </w:r>
      <w:r w:rsidR="00EA1653" w:rsidRPr="00EA1653">
        <w:rPr>
          <w:rFonts w:ascii="Times New Roman" w:hAnsi="Times New Roman" w:cs="Times New Roman"/>
          <w:sz w:val="24"/>
          <w:szCs w:val="24"/>
        </w:rPr>
        <w:t xml:space="preserve">reimbursement </w:t>
      </w:r>
      <w:r w:rsidR="002C3CC7" w:rsidRPr="00EA1653">
        <w:rPr>
          <w:rFonts w:ascii="Times New Roman" w:hAnsi="Times New Roman" w:cs="Times New Roman"/>
          <w:sz w:val="24"/>
          <w:szCs w:val="24"/>
        </w:rPr>
        <w:t>language</w:t>
      </w:r>
      <w:r w:rsidR="00072182" w:rsidRPr="00EA1653">
        <w:rPr>
          <w:rFonts w:ascii="Times New Roman" w:hAnsi="Times New Roman" w:cs="Times New Roman"/>
          <w:sz w:val="24"/>
          <w:szCs w:val="24"/>
        </w:rPr>
        <w:t xml:space="preserve"> proposed by TIEC with which NRG agrees</w:t>
      </w:r>
      <w:r w:rsidR="00072182">
        <w:rPr>
          <w:rFonts w:ascii="Times New Roman" w:hAnsi="Times New Roman" w:cs="Times New Roman"/>
        </w:rPr>
        <w:t>.</w:t>
      </w:r>
      <w:r w:rsidR="004B667C">
        <w:rPr>
          <w:rStyle w:val="FootnoteReference"/>
          <w:rFonts w:ascii="Times New Roman" w:hAnsi="Times New Roman" w:cs="Times New Roman"/>
        </w:rPr>
        <w:footnoteReference w:id="13"/>
      </w:r>
    </w:p>
    <w:p w14:paraId="2CE051AF" w14:textId="32051B72" w:rsidR="00C956ED" w:rsidRDefault="00C956ED" w:rsidP="00C956ED">
      <w:pPr>
        <w:ind w:left="360" w:hanging="360"/>
        <w:jc w:val="both"/>
        <w:rPr>
          <w:rFonts w:ascii="Times New Roman" w:hAnsi="Times New Roman" w:cs="Times New Roman"/>
        </w:rPr>
      </w:pPr>
      <w:r w:rsidRPr="00442EF3">
        <w:rPr>
          <w:rFonts w:ascii="Times New Roman" w:hAnsi="Times New Roman" w:cs="Times New Roman"/>
        </w:rPr>
        <w:t xml:space="preserve">(g) </w:t>
      </w:r>
      <w:r>
        <w:rPr>
          <w:rFonts w:ascii="Times New Roman" w:hAnsi="Times New Roman" w:cs="Times New Roman"/>
        </w:rPr>
        <w:t xml:space="preserve"> </w:t>
      </w:r>
      <w:r w:rsidRPr="00442EF3">
        <w:rPr>
          <w:rFonts w:ascii="Times New Roman" w:hAnsi="Times New Roman" w:cs="Times New Roman"/>
          <w:b/>
          <w:bCs/>
        </w:rPr>
        <w:t>Scarcity pricing mechanism (SPM).</w:t>
      </w:r>
      <w:r w:rsidRPr="00442EF3">
        <w:rPr>
          <w:rFonts w:ascii="Times New Roman" w:hAnsi="Times New Roman" w:cs="Times New Roman"/>
        </w:rPr>
        <w:t xml:space="preserve"> ERCOT will administer the SPM. The SPM will operate as follows: </w:t>
      </w:r>
    </w:p>
    <w:p w14:paraId="4388CA01" w14:textId="034B1FE7" w:rsidR="00C956ED" w:rsidRPr="00442EF3" w:rsidRDefault="00C956ED" w:rsidP="00C956ED">
      <w:pPr>
        <w:spacing w:after="0" w:line="240" w:lineRule="auto"/>
        <w:ind w:left="720" w:hanging="270"/>
        <w:jc w:val="both"/>
        <w:rPr>
          <w:rFonts w:ascii="Times New Roman" w:hAnsi="Times New Roman" w:cs="Times New Roman"/>
        </w:rPr>
      </w:pPr>
      <w:r>
        <w:rPr>
          <w:rFonts w:ascii="Times New Roman" w:hAnsi="Times New Roman" w:cs="Times New Roman"/>
        </w:rPr>
        <w:t>[</w:t>
      </w:r>
      <w:r w:rsidRPr="00442EF3">
        <w:rPr>
          <w:rFonts w:ascii="Times New Roman" w:hAnsi="Times New Roman" w:cs="Times New Roman"/>
        </w:rPr>
        <w:t>(1)</w:t>
      </w:r>
      <w:r>
        <w:rPr>
          <w:rFonts w:ascii="Times New Roman" w:hAnsi="Times New Roman" w:cs="Times New Roman"/>
        </w:rPr>
        <w:t>-(5) No change.]</w:t>
      </w:r>
      <w:r>
        <w:rPr>
          <w:rFonts w:ascii="Times New Roman" w:hAnsi="Times New Roman" w:cs="Times New Roman"/>
        </w:rPr>
        <w:tab/>
      </w:r>
      <w:r w:rsidRPr="00442EF3">
        <w:rPr>
          <w:rFonts w:ascii="Times New Roman" w:hAnsi="Times New Roman" w:cs="Times New Roman"/>
        </w:rPr>
        <w:t xml:space="preserve"> </w:t>
      </w:r>
    </w:p>
    <w:p w14:paraId="71BA5B9B" w14:textId="77777777" w:rsidR="00C956ED" w:rsidRDefault="00C956ED" w:rsidP="00C956ED">
      <w:pPr>
        <w:spacing w:after="0" w:line="240" w:lineRule="auto"/>
        <w:ind w:left="720" w:hanging="270"/>
        <w:jc w:val="both"/>
        <w:rPr>
          <w:rFonts w:ascii="Times New Roman" w:hAnsi="Times New Roman" w:cs="Times New Roman"/>
        </w:rPr>
      </w:pPr>
      <w:r w:rsidRPr="00442EF3">
        <w:rPr>
          <w:rFonts w:ascii="Times New Roman" w:hAnsi="Times New Roman" w:cs="Times New Roman"/>
        </w:rPr>
        <w:t xml:space="preserve">(6) System-Wide Offer Caps. </w:t>
      </w:r>
    </w:p>
    <w:p w14:paraId="155941F2" w14:textId="0030DDFD" w:rsidR="00C956ED" w:rsidRDefault="00C956ED" w:rsidP="00C956ED">
      <w:pPr>
        <w:spacing w:after="0" w:line="240" w:lineRule="auto"/>
        <w:ind w:firstLine="720"/>
        <w:jc w:val="both"/>
        <w:rPr>
          <w:rFonts w:ascii="Times New Roman" w:hAnsi="Times New Roman" w:cs="Times New Roman"/>
        </w:rPr>
      </w:pPr>
      <w:r>
        <w:rPr>
          <w:rFonts w:ascii="Times New Roman" w:hAnsi="Times New Roman" w:cs="Times New Roman"/>
        </w:rPr>
        <w:t xml:space="preserve"> </w:t>
      </w:r>
      <w:r w:rsidRPr="00442EF3">
        <w:rPr>
          <w:rFonts w:ascii="Times New Roman" w:hAnsi="Times New Roman" w:cs="Times New Roman"/>
        </w:rPr>
        <w:t xml:space="preserve">(A) The low system-wide offer cap (LCAP) will be set </w:t>
      </w:r>
      <w:r w:rsidR="002C3CC7">
        <w:rPr>
          <w:rFonts w:ascii="Times New Roman" w:hAnsi="Times New Roman" w:cs="Times New Roman"/>
          <w:u w:val="single"/>
        </w:rPr>
        <w:t>at</w:t>
      </w:r>
      <w:r w:rsidR="00EA1653">
        <w:rPr>
          <w:rFonts w:ascii="Times New Roman" w:hAnsi="Times New Roman" w:cs="Times New Roman"/>
          <w:u w:val="single"/>
        </w:rPr>
        <w:t xml:space="preserve"> </w:t>
      </w:r>
      <w:r w:rsidRPr="0071420F">
        <w:rPr>
          <w:rFonts w:ascii="Times New Roman" w:hAnsi="Times New Roman" w:cs="Times New Roman"/>
          <w:strike/>
        </w:rPr>
        <w:t>on a daily basis at the greater of:</w:t>
      </w:r>
      <w:r w:rsidRPr="00442EF3">
        <w:rPr>
          <w:rFonts w:ascii="Times New Roman" w:hAnsi="Times New Roman" w:cs="Times New Roman"/>
        </w:rPr>
        <w:t xml:space="preserve"> </w:t>
      </w:r>
    </w:p>
    <w:p w14:paraId="1C43A57A" w14:textId="77777777" w:rsidR="00C956ED" w:rsidRPr="0071420F" w:rsidRDefault="00C956ED" w:rsidP="00C956ED">
      <w:pPr>
        <w:spacing w:after="0" w:line="240" w:lineRule="auto"/>
        <w:ind w:left="720" w:firstLine="720"/>
        <w:jc w:val="both"/>
        <w:rPr>
          <w:rFonts w:ascii="Times New Roman" w:hAnsi="Times New Roman" w:cs="Times New Roman"/>
          <w:strike/>
        </w:rPr>
      </w:pPr>
      <w:r w:rsidRPr="0071420F">
        <w:rPr>
          <w:rFonts w:ascii="Times New Roman" w:hAnsi="Times New Roman" w:cs="Times New Roman"/>
          <w:strike/>
        </w:rPr>
        <w:t>(i)</w:t>
      </w:r>
      <w:r w:rsidRPr="00442EF3">
        <w:rPr>
          <w:rFonts w:ascii="Times New Roman" w:hAnsi="Times New Roman" w:cs="Times New Roman"/>
        </w:rPr>
        <w:t xml:space="preserve"> $2,000 per MWh and $2,000 per MW per hour</w:t>
      </w:r>
      <w:r w:rsidRPr="0071420F">
        <w:rPr>
          <w:rFonts w:ascii="Times New Roman" w:hAnsi="Times New Roman" w:cs="Times New Roman"/>
          <w:strike/>
        </w:rPr>
        <w:t xml:space="preserve">; or </w:t>
      </w:r>
    </w:p>
    <w:p w14:paraId="6A2FF483" w14:textId="77777777" w:rsidR="00C956ED" w:rsidRDefault="00C956ED" w:rsidP="00C956ED">
      <w:pPr>
        <w:spacing w:after="0" w:line="240" w:lineRule="auto"/>
        <w:ind w:left="1800" w:hanging="360"/>
        <w:jc w:val="both"/>
        <w:rPr>
          <w:rFonts w:ascii="Times New Roman" w:hAnsi="Times New Roman" w:cs="Times New Roman"/>
        </w:rPr>
      </w:pPr>
      <w:r w:rsidRPr="0071420F">
        <w:rPr>
          <w:rFonts w:ascii="Times New Roman" w:hAnsi="Times New Roman" w:cs="Times New Roman"/>
          <w:strike/>
        </w:rPr>
        <w:t>(ii) 50 times the natural gas price index value determined by ERCOT, expressed in dollars per MWh and dollars per MW per hour</w:t>
      </w:r>
      <w:r w:rsidRPr="00442EF3">
        <w:rPr>
          <w:rFonts w:ascii="Times New Roman" w:hAnsi="Times New Roman" w:cs="Times New Roman"/>
        </w:rPr>
        <w:t xml:space="preserve">. </w:t>
      </w:r>
    </w:p>
    <w:p w14:paraId="4CC43276" w14:textId="77777777" w:rsidR="00C956ED" w:rsidRDefault="00C956ED" w:rsidP="00C956ED">
      <w:pPr>
        <w:spacing w:after="0" w:line="240" w:lineRule="auto"/>
        <w:ind w:left="1170" w:hanging="360"/>
        <w:jc w:val="both"/>
        <w:rPr>
          <w:rFonts w:ascii="Times New Roman" w:hAnsi="Times New Roman" w:cs="Times New Roman"/>
        </w:rPr>
      </w:pPr>
      <w:r w:rsidRPr="00442EF3">
        <w:rPr>
          <w:rFonts w:ascii="Times New Roman" w:hAnsi="Times New Roman" w:cs="Times New Roman"/>
        </w:rPr>
        <w:t xml:space="preserve">(B) The high system-wide offer cap (HCAP) will be $9,000 per MWh and $9,000 per MW per hour. </w:t>
      </w:r>
    </w:p>
    <w:p w14:paraId="1DD0AFC9" w14:textId="77777777" w:rsidR="00C956ED" w:rsidRDefault="00C956ED" w:rsidP="00C956ED">
      <w:pPr>
        <w:spacing w:after="0" w:line="240" w:lineRule="auto"/>
        <w:ind w:left="1170" w:hanging="360"/>
        <w:jc w:val="both"/>
        <w:rPr>
          <w:rFonts w:ascii="Times New Roman" w:hAnsi="Times New Roman" w:cs="Times New Roman"/>
        </w:rPr>
      </w:pPr>
      <w:r w:rsidRPr="00442EF3">
        <w:rPr>
          <w:rFonts w:ascii="Times New Roman" w:hAnsi="Times New Roman" w:cs="Times New Roman"/>
        </w:rPr>
        <w:lastRenderedPageBreak/>
        <w:t xml:space="preserve">(C) The system-wide offer cap will be set equal to the HCAP at the beginning of each calendar year and maintained at this level until the peaker net margin during a calendar year exceeds a threshold of three times the cost of new entry of new generation plants. </w:t>
      </w:r>
    </w:p>
    <w:p w14:paraId="69F48078" w14:textId="77777777" w:rsidR="00C956ED" w:rsidRDefault="00C956ED" w:rsidP="00C956ED">
      <w:pPr>
        <w:spacing w:after="0" w:line="240" w:lineRule="auto"/>
        <w:ind w:left="1170" w:hanging="360"/>
        <w:jc w:val="both"/>
        <w:rPr>
          <w:rFonts w:ascii="Times New Roman" w:hAnsi="Times New Roman" w:cs="Times New Roman"/>
        </w:rPr>
      </w:pPr>
      <w:r w:rsidRPr="00442EF3">
        <w:rPr>
          <w:rFonts w:ascii="Times New Roman" w:hAnsi="Times New Roman" w:cs="Times New Roman"/>
        </w:rPr>
        <w:t xml:space="preserve">(D) If the peaker net margin exceeds the threshold established in subparagraph (C) of this paragraph during a calendar year, the system-wide offer cap will be set to the LCAP for the remainder of that calendar year. In this event, ERCOT will continue to apply the operating reserve demand curve and the reliability deployment price adder for the remainder of that calendar year. Energy prices, exclusive of congestion prices, will not exceed the LCAP plus $1 for the remainder of that calendar year. </w:t>
      </w:r>
    </w:p>
    <w:p w14:paraId="6F7E395A" w14:textId="441A9514" w:rsidR="00510EC6" w:rsidRDefault="00C956ED" w:rsidP="00C956ED">
      <w:pPr>
        <w:spacing w:after="0" w:line="240" w:lineRule="auto"/>
        <w:ind w:left="1170" w:hanging="360"/>
        <w:jc w:val="both"/>
        <w:rPr>
          <w:rFonts w:ascii="Times New Roman" w:hAnsi="Times New Roman" w:cs="Times New Roman"/>
        </w:rPr>
      </w:pPr>
      <w:r w:rsidRPr="00442EF3">
        <w:rPr>
          <w:rFonts w:ascii="Times New Roman" w:hAnsi="Times New Roman" w:cs="Times New Roman"/>
        </w:rPr>
        <w:t>(E) The value of the lost load will be equal to the value of the system-wide offer cap in effect.</w:t>
      </w:r>
    </w:p>
    <w:p w14:paraId="3D6CE93A" w14:textId="25A40246" w:rsidR="00C956ED" w:rsidRPr="00305619" w:rsidRDefault="00C956ED" w:rsidP="00305619">
      <w:pPr>
        <w:spacing w:after="0" w:line="240" w:lineRule="auto"/>
        <w:ind w:left="720" w:hanging="270"/>
        <w:jc w:val="both"/>
        <w:rPr>
          <w:rFonts w:ascii="Times New Roman" w:hAnsi="Times New Roman" w:cs="Times New Roman"/>
        </w:rPr>
      </w:pPr>
      <w:r w:rsidRPr="00072182">
        <w:rPr>
          <w:rFonts w:ascii="Times New Roman" w:hAnsi="Times New Roman" w:cs="Times New Roman"/>
          <w:u w:val="single"/>
        </w:rPr>
        <w:t>(</w:t>
      </w:r>
      <w:r w:rsidR="001F341A" w:rsidRPr="00072182">
        <w:rPr>
          <w:rFonts w:ascii="Times New Roman" w:hAnsi="Times New Roman" w:cs="Times New Roman"/>
          <w:u w:val="single"/>
        </w:rPr>
        <w:t>7</w:t>
      </w:r>
      <w:r w:rsidRPr="00072182">
        <w:rPr>
          <w:rFonts w:ascii="Times New Roman" w:hAnsi="Times New Roman" w:cs="Times New Roman"/>
          <w:u w:val="single"/>
        </w:rPr>
        <w:t>)</w:t>
      </w:r>
      <w:r w:rsidRPr="00072182">
        <w:rPr>
          <w:rFonts w:ascii="Times New Roman" w:hAnsi="Times New Roman" w:cs="Times New Roman"/>
          <w:u w:val="single"/>
        </w:rPr>
        <w:tab/>
      </w:r>
      <w:r>
        <w:rPr>
          <w:rFonts w:ascii="Times New Roman" w:hAnsi="Times New Roman" w:cs="Times New Roman"/>
          <w:u w:val="single"/>
        </w:rPr>
        <w:t xml:space="preserve"> </w:t>
      </w:r>
      <w:r w:rsidR="00305619">
        <w:rPr>
          <w:rFonts w:ascii="Times New Roman" w:hAnsi="Times New Roman" w:cs="Times New Roman"/>
          <w:b/>
          <w:bCs/>
          <w:u w:val="single"/>
        </w:rPr>
        <w:t xml:space="preserve">Reimbursement for Operating Losses During an LCAP Event.  </w:t>
      </w:r>
      <w:r w:rsidR="00305619" w:rsidRPr="00305619">
        <w:rPr>
          <w:rFonts w:ascii="Times New Roman" w:hAnsi="Times New Roman" w:cs="Times New Roman"/>
          <w:u w:val="single"/>
        </w:rPr>
        <w:t>ERCOT</w:t>
      </w:r>
      <w:r w:rsidR="00305619">
        <w:rPr>
          <w:rFonts w:ascii="Times New Roman" w:hAnsi="Times New Roman" w:cs="Times New Roman"/>
          <w:u w:val="single"/>
        </w:rPr>
        <w:t xml:space="preserve"> shall implement a process for reimbursing generation owners for any actual marginal costs, plus a reasonable margin to incentivize performance, in excess of LCAP revenues.  </w:t>
      </w:r>
      <w:r w:rsidR="00FA3095">
        <w:rPr>
          <w:rFonts w:ascii="Times New Roman" w:hAnsi="Times New Roman" w:cs="Times New Roman"/>
          <w:u w:val="single"/>
        </w:rPr>
        <w:t>ERCOT shall utilize existing settlement processes to the extent possible to verify the generator’s costs and expedite reimbursement.  Reimbursement shall include a margin on the generator’s actual cost to incentivize performance during an LCAP event.</w:t>
      </w:r>
    </w:p>
    <w:p w14:paraId="75D91F52" w14:textId="77777777" w:rsidR="00C33DF5" w:rsidRPr="00C33DF5" w:rsidRDefault="00C33DF5" w:rsidP="00C33DF5">
      <w:pPr>
        <w:spacing w:after="200" w:line="276" w:lineRule="auto"/>
        <w:jc w:val="center"/>
        <w:rPr>
          <w:rFonts w:ascii="Times New Roman" w:hAnsi="Times New Roman" w:cs="Times New Roman"/>
          <w:b/>
          <w:smallCaps/>
          <w:sz w:val="24"/>
          <w:szCs w:val="24"/>
        </w:rPr>
      </w:pPr>
    </w:p>
    <w:p w14:paraId="32A83A6A" w14:textId="1D6FE9EC" w:rsidR="004E768F" w:rsidRPr="00E8499C" w:rsidRDefault="00C33DF5" w:rsidP="00975008">
      <w:pPr>
        <w:pStyle w:val="ListParagraph"/>
        <w:keepNext/>
        <w:numPr>
          <w:ilvl w:val="0"/>
          <w:numId w:val="2"/>
        </w:numPr>
        <w:spacing w:after="200" w:line="276" w:lineRule="auto"/>
        <w:jc w:val="center"/>
        <w:rPr>
          <w:rFonts w:ascii="Times New Roman" w:hAnsi="Times New Roman" w:cs="Times New Roman"/>
          <w:b/>
          <w:smallCaps/>
          <w:sz w:val="24"/>
          <w:szCs w:val="24"/>
        </w:rPr>
      </w:pPr>
      <w:r>
        <w:rPr>
          <w:rFonts w:ascii="Times New Roman" w:hAnsi="Times New Roman" w:cs="Times New Roman"/>
          <w:b/>
          <w:smallCaps/>
          <w:sz w:val="24"/>
          <w:szCs w:val="24"/>
        </w:rPr>
        <w:t>Conclusion</w:t>
      </w:r>
      <w:r w:rsidR="009552CC">
        <w:rPr>
          <w:rFonts w:ascii="Times New Roman" w:hAnsi="Times New Roman" w:cs="Times New Roman"/>
          <w:b/>
          <w:smallCaps/>
          <w:sz w:val="24"/>
          <w:szCs w:val="24"/>
        </w:rPr>
        <w:t xml:space="preserve"> </w:t>
      </w:r>
    </w:p>
    <w:p w14:paraId="19D5E549" w14:textId="6A85FF71" w:rsidR="00CD66B5" w:rsidRPr="00E8499C" w:rsidRDefault="00BB4286" w:rsidP="00CD66B5">
      <w:pPr>
        <w:spacing w:line="360" w:lineRule="auto"/>
        <w:ind w:firstLine="360"/>
        <w:jc w:val="both"/>
        <w:rPr>
          <w:rFonts w:ascii="Times New Roman" w:hAnsi="Times New Roman" w:cs="Times New Roman"/>
          <w:sz w:val="24"/>
          <w:szCs w:val="24"/>
        </w:rPr>
      </w:pPr>
      <w:r>
        <w:rPr>
          <w:rFonts w:ascii="Times New Roman" w:hAnsi="Times New Roman" w:cs="Times New Roman"/>
          <w:sz w:val="24"/>
          <w:szCs w:val="24"/>
        </w:rPr>
        <w:t>NRG appreciates the Commission’s thoughtful consideration of this issue</w:t>
      </w:r>
      <w:r w:rsidR="00311A14">
        <w:rPr>
          <w:rFonts w:ascii="Times New Roman" w:hAnsi="Times New Roman" w:cs="Times New Roman"/>
          <w:sz w:val="24"/>
          <w:szCs w:val="24"/>
        </w:rPr>
        <w:t>.  NRG respectfully recommends t</w:t>
      </w:r>
      <w:r w:rsidR="009826DE">
        <w:rPr>
          <w:rFonts w:ascii="Times New Roman" w:hAnsi="Times New Roman" w:cs="Times New Roman"/>
          <w:sz w:val="24"/>
          <w:szCs w:val="24"/>
        </w:rPr>
        <w:t>hat the Commission amend the rule as set forth above</w:t>
      </w:r>
      <w:r w:rsidR="001A12AA">
        <w:rPr>
          <w:rFonts w:ascii="Times New Roman" w:hAnsi="Times New Roman" w:cs="Times New Roman"/>
          <w:sz w:val="24"/>
          <w:szCs w:val="24"/>
        </w:rPr>
        <w:t xml:space="preserve"> to ensure that the </w:t>
      </w:r>
      <w:r w:rsidR="00EA1653">
        <w:rPr>
          <w:rFonts w:ascii="Times New Roman" w:hAnsi="Times New Roman" w:cs="Times New Roman"/>
          <w:sz w:val="24"/>
          <w:szCs w:val="24"/>
        </w:rPr>
        <w:t xml:space="preserve">scarcity pricing mechanism </w:t>
      </w:r>
      <w:r w:rsidR="001A12AA">
        <w:rPr>
          <w:rFonts w:ascii="Times New Roman" w:hAnsi="Times New Roman" w:cs="Times New Roman"/>
          <w:sz w:val="24"/>
          <w:szCs w:val="24"/>
        </w:rPr>
        <w:t xml:space="preserve">can </w:t>
      </w:r>
      <w:r w:rsidR="00367A4A">
        <w:rPr>
          <w:rFonts w:ascii="Times New Roman" w:hAnsi="Times New Roman" w:cs="Times New Roman"/>
          <w:sz w:val="24"/>
          <w:szCs w:val="24"/>
        </w:rPr>
        <w:t>remain in place through a wide range of market conditions</w:t>
      </w:r>
      <w:r w:rsidR="009826DE">
        <w:rPr>
          <w:rFonts w:ascii="Times New Roman" w:hAnsi="Times New Roman" w:cs="Times New Roman"/>
          <w:sz w:val="24"/>
          <w:szCs w:val="24"/>
        </w:rPr>
        <w:t xml:space="preserve">.  </w:t>
      </w:r>
    </w:p>
    <w:tbl>
      <w:tblPr>
        <w:tblStyle w:val="TableGrid"/>
        <w:tblW w:w="0" w:type="auto"/>
        <w:tblInd w:w="33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tblGrid>
      <w:tr w:rsidR="00FC39AF" w:rsidRPr="00E8499C" w14:paraId="1646577F" w14:textId="77777777" w:rsidTr="00CD66B5">
        <w:tc>
          <w:tcPr>
            <w:tcW w:w="9350" w:type="dxa"/>
          </w:tcPr>
          <w:p w14:paraId="556C91D6" w14:textId="77777777" w:rsidR="00FC39AF" w:rsidRPr="00E8499C" w:rsidRDefault="00FC39AF" w:rsidP="00FC39AF">
            <w:pPr>
              <w:pStyle w:val="BodyText"/>
              <w:spacing w:line="240" w:lineRule="auto"/>
              <w:rPr>
                <w:rFonts w:eastAsiaTheme="minorHAnsi"/>
                <w:szCs w:val="24"/>
              </w:rPr>
            </w:pPr>
            <w:r w:rsidRPr="00E8499C">
              <w:rPr>
                <w:rFonts w:eastAsiaTheme="minorHAnsi"/>
                <w:szCs w:val="24"/>
              </w:rPr>
              <w:t xml:space="preserve"> Respectfully submitted,</w:t>
            </w:r>
          </w:p>
          <w:p w14:paraId="45CE4BFF" w14:textId="14BDEE53" w:rsidR="00CD66B5" w:rsidRPr="00E8499C" w:rsidRDefault="00CD66B5" w:rsidP="00FC39AF">
            <w:pPr>
              <w:pStyle w:val="BodyText"/>
              <w:spacing w:line="240" w:lineRule="auto"/>
              <w:rPr>
                <w:rFonts w:eastAsiaTheme="minorHAnsi"/>
                <w:szCs w:val="24"/>
              </w:rPr>
            </w:pPr>
          </w:p>
        </w:tc>
      </w:tr>
      <w:tr w:rsidR="00FC39AF" w:rsidRPr="00E8499C" w14:paraId="012A47F8" w14:textId="77777777" w:rsidTr="00CD66B5">
        <w:tc>
          <w:tcPr>
            <w:tcW w:w="9350" w:type="dxa"/>
          </w:tcPr>
          <w:p w14:paraId="23975F28" w14:textId="7498553C" w:rsidR="00FC39AF" w:rsidRPr="00E8499C" w:rsidRDefault="00FC39AF" w:rsidP="00FC39AF">
            <w:pPr>
              <w:pStyle w:val="BodyText"/>
              <w:spacing w:line="240" w:lineRule="auto"/>
              <w:rPr>
                <w:rFonts w:eastAsiaTheme="minorHAnsi"/>
                <w:szCs w:val="24"/>
              </w:rPr>
            </w:pPr>
            <w:r w:rsidRPr="00E8499C">
              <w:rPr>
                <w:noProof/>
                <w:szCs w:val="24"/>
              </w:rPr>
              <w:drawing>
                <wp:inline distT="0" distB="0" distL="0" distR="0" wp14:anchorId="130AD7EC" wp14:editId="4B5A2A85">
                  <wp:extent cx="2722245" cy="311087"/>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35241" cy="324000"/>
                          </a:xfrm>
                          <a:prstGeom prst="rect">
                            <a:avLst/>
                          </a:prstGeom>
                        </pic:spPr>
                      </pic:pic>
                    </a:graphicData>
                  </a:graphic>
                </wp:inline>
              </w:drawing>
            </w:r>
          </w:p>
        </w:tc>
      </w:tr>
      <w:tr w:rsidR="00FC39AF" w:rsidRPr="00E8499C" w14:paraId="7B2F4BC8" w14:textId="77777777" w:rsidTr="00CD66B5">
        <w:tc>
          <w:tcPr>
            <w:tcW w:w="9350" w:type="dxa"/>
          </w:tcPr>
          <w:p w14:paraId="15B2108D" w14:textId="664CFD1F" w:rsidR="00FC39AF" w:rsidRPr="00E8499C" w:rsidRDefault="00FC39AF" w:rsidP="00FC39AF">
            <w:pPr>
              <w:pStyle w:val="BodyText"/>
              <w:spacing w:line="240" w:lineRule="auto"/>
              <w:rPr>
                <w:rFonts w:eastAsiaTheme="minorHAnsi"/>
                <w:szCs w:val="24"/>
              </w:rPr>
            </w:pPr>
            <w:r w:rsidRPr="00E8499C">
              <w:rPr>
                <w:rFonts w:eastAsiaTheme="minorHAnsi"/>
                <w:szCs w:val="24"/>
              </w:rPr>
              <w:t xml:space="preserve"> Bill Barnes</w:t>
            </w:r>
          </w:p>
          <w:p w14:paraId="13C602F3" w14:textId="32977A76" w:rsidR="00FC39AF" w:rsidRPr="00E8499C" w:rsidRDefault="00FC39AF" w:rsidP="00FC39AF">
            <w:pPr>
              <w:pStyle w:val="BodyText"/>
              <w:spacing w:line="240" w:lineRule="auto"/>
              <w:rPr>
                <w:rFonts w:eastAsiaTheme="minorHAnsi"/>
                <w:szCs w:val="24"/>
              </w:rPr>
            </w:pPr>
            <w:r w:rsidRPr="00E8499C">
              <w:rPr>
                <w:rFonts w:eastAsiaTheme="minorHAnsi"/>
                <w:szCs w:val="24"/>
              </w:rPr>
              <w:t xml:space="preserve"> Sr. Dir. Regulatory Affairs</w:t>
            </w:r>
          </w:p>
          <w:p w14:paraId="7A7FD4D3" w14:textId="7841BF6E" w:rsidR="00FC39AF" w:rsidRPr="00E8499C" w:rsidRDefault="00FC39AF" w:rsidP="00FC39AF">
            <w:pPr>
              <w:pStyle w:val="BodyText"/>
              <w:spacing w:line="240" w:lineRule="auto"/>
              <w:rPr>
                <w:rFonts w:eastAsiaTheme="minorHAnsi"/>
                <w:szCs w:val="24"/>
              </w:rPr>
            </w:pPr>
            <w:r w:rsidRPr="00E8499C">
              <w:rPr>
                <w:rFonts w:eastAsiaTheme="minorHAnsi"/>
                <w:szCs w:val="24"/>
              </w:rPr>
              <w:t xml:space="preserve"> NRG Energy, Inc.</w:t>
            </w:r>
          </w:p>
          <w:p w14:paraId="336C2BBC" w14:textId="0D59D281" w:rsidR="00FC39AF" w:rsidRPr="00E8499C" w:rsidRDefault="00FC39AF" w:rsidP="00FC39AF">
            <w:pPr>
              <w:pStyle w:val="BodyText"/>
              <w:spacing w:line="240" w:lineRule="auto"/>
              <w:rPr>
                <w:rFonts w:eastAsiaTheme="minorHAnsi"/>
                <w:szCs w:val="24"/>
              </w:rPr>
            </w:pPr>
            <w:r w:rsidRPr="00E8499C">
              <w:rPr>
                <w:rFonts w:eastAsiaTheme="minorHAnsi"/>
                <w:szCs w:val="24"/>
              </w:rPr>
              <w:t xml:space="preserve"> 1005 Congress Avenue, Suite 950</w:t>
            </w:r>
          </w:p>
          <w:p w14:paraId="3037272D" w14:textId="49ED55EF" w:rsidR="00FC39AF" w:rsidRPr="00E8499C" w:rsidRDefault="00FC39AF" w:rsidP="00FC39AF">
            <w:pPr>
              <w:pStyle w:val="BodyText"/>
              <w:spacing w:line="240" w:lineRule="auto"/>
              <w:rPr>
                <w:rFonts w:eastAsiaTheme="minorHAnsi"/>
                <w:szCs w:val="24"/>
              </w:rPr>
            </w:pPr>
            <w:r w:rsidRPr="00E8499C">
              <w:rPr>
                <w:rFonts w:eastAsiaTheme="minorHAnsi"/>
                <w:szCs w:val="24"/>
              </w:rPr>
              <w:t xml:space="preserve"> Austin, Texas 78701</w:t>
            </w:r>
          </w:p>
          <w:p w14:paraId="0B0F5268" w14:textId="31069F12" w:rsidR="00FC39AF" w:rsidRPr="00E8499C" w:rsidRDefault="00FC39AF" w:rsidP="00FC39AF">
            <w:pPr>
              <w:pStyle w:val="BodyText"/>
              <w:spacing w:line="240" w:lineRule="auto"/>
              <w:rPr>
                <w:rFonts w:eastAsiaTheme="minorHAnsi"/>
                <w:szCs w:val="24"/>
              </w:rPr>
            </w:pPr>
            <w:r w:rsidRPr="00E8499C">
              <w:rPr>
                <w:rFonts w:eastAsiaTheme="minorHAnsi"/>
                <w:szCs w:val="24"/>
              </w:rPr>
              <w:t xml:space="preserve"> Telephone: (512)691-6137</w:t>
            </w:r>
          </w:p>
          <w:p w14:paraId="4E179EAE" w14:textId="429B6350" w:rsidR="00FC39AF" w:rsidRPr="00E8499C" w:rsidRDefault="00FC39AF" w:rsidP="00FC39AF">
            <w:pPr>
              <w:pStyle w:val="BodyText"/>
              <w:spacing w:line="240" w:lineRule="auto"/>
              <w:rPr>
                <w:rFonts w:eastAsiaTheme="minorHAnsi"/>
                <w:szCs w:val="24"/>
              </w:rPr>
            </w:pPr>
            <w:r w:rsidRPr="00E8499C">
              <w:rPr>
                <w:rFonts w:eastAsiaTheme="minorHAnsi"/>
                <w:szCs w:val="24"/>
              </w:rPr>
              <w:t xml:space="preserve"> </w:t>
            </w:r>
            <w:hyperlink r:id="rId9" w:history="1">
              <w:r w:rsidR="00CD66B5" w:rsidRPr="00E8499C">
                <w:rPr>
                  <w:rStyle w:val="Hyperlink"/>
                  <w:rFonts w:eastAsiaTheme="minorHAnsi"/>
                  <w:szCs w:val="24"/>
                </w:rPr>
                <w:t>bill.barnes@nrg.com</w:t>
              </w:r>
            </w:hyperlink>
          </w:p>
        </w:tc>
      </w:tr>
    </w:tbl>
    <w:p w14:paraId="5BC730DB" w14:textId="03441E05" w:rsidR="00390DBD" w:rsidRPr="00E8499C" w:rsidRDefault="00390DBD" w:rsidP="008D19C9">
      <w:pPr>
        <w:rPr>
          <w:rFonts w:ascii="Times New Roman" w:hAnsi="Times New Roman" w:cs="Times New Roman"/>
          <w:sz w:val="24"/>
          <w:szCs w:val="24"/>
        </w:rPr>
      </w:pPr>
    </w:p>
    <w:sectPr w:rsidR="00390DBD" w:rsidRPr="00E8499C" w:rsidSect="00BF4FEF">
      <w:footerReference w:type="default" r:id="rId10"/>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4BB839" w14:textId="77777777" w:rsidR="00CA1576" w:rsidRDefault="00CA1576" w:rsidP="00BF4FEF">
      <w:pPr>
        <w:spacing w:after="0" w:line="240" w:lineRule="auto"/>
      </w:pPr>
      <w:r>
        <w:separator/>
      </w:r>
    </w:p>
  </w:endnote>
  <w:endnote w:type="continuationSeparator" w:id="0">
    <w:p w14:paraId="5BDF7A78" w14:textId="77777777" w:rsidR="00CA1576" w:rsidRDefault="00CA1576" w:rsidP="00BF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44265555"/>
      <w:docPartObj>
        <w:docPartGallery w:val="Page Numbers (Bottom of Page)"/>
        <w:docPartUnique/>
      </w:docPartObj>
    </w:sdtPr>
    <w:sdtEndPr>
      <w:rPr>
        <w:noProof/>
      </w:rPr>
    </w:sdtEndPr>
    <w:sdtContent>
      <w:p w14:paraId="223D3BFC" w14:textId="180AEAB2" w:rsidR="00BF4FEF" w:rsidRDefault="00BF4FE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521BFD5" w14:textId="77777777" w:rsidR="00BF4FEF" w:rsidRDefault="00BF4F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52D0BC" w14:textId="77777777" w:rsidR="00CA1576" w:rsidRDefault="00CA1576" w:rsidP="00BF4FEF">
      <w:pPr>
        <w:spacing w:after="0" w:line="240" w:lineRule="auto"/>
      </w:pPr>
      <w:r>
        <w:separator/>
      </w:r>
    </w:p>
  </w:footnote>
  <w:footnote w:type="continuationSeparator" w:id="0">
    <w:p w14:paraId="3DC4E5BA" w14:textId="77777777" w:rsidR="00CA1576" w:rsidRDefault="00CA1576" w:rsidP="00BF4FEF">
      <w:pPr>
        <w:spacing w:after="0" w:line="240" w:lineRule="auto"/>
      </w:pPr>
      <w:r>
        <w:continuationSeparator/>
      </w:r>
    </w:p>
  </w:footnote>
  <w:footnote w:id="1">
    <w:p w14:paraId="015C9586" w14:textId="68FB3433" w:rsidR="00961E4E" w:rsidRPr="009B27C1" w:rsidRDefault="00961E4E" w:rsidP="006E269A">
      <w:pPr>
        <w:pStyle w:val="FootnoteText"/>
        <w:spacing w:after="120"/>
        <w:ind w:firstLine="720"/>
        <w:rPr>
          <w:rFonts w:ascii="Times New Roman" w:hAnsi="Times New Roman" w:cs="Times New Roman"/>
        </w:rPr>
      </w:pPr>
      <w:r w:rsidRPr="009B27C1">
        <w:rPr>
          <w:rStyle w:val="FootnoteReference"/>
          <w:rFonts w:ascii="Times New Roman" w:hAnsi="Times New Roman" w:cs="Times New Roman"/>
        </w:rPr>
        <w:footnoteRef/>
      </w:r>
      <w:r w:rsidRPr="009B27C1">
        <w:rPr>
          <w:rFonts w:ascii="Times New Roman" w:hAnsi="Times New Roman" w:cs="Times New Roman"/>
        </w:rPr>
        <w:t xml:space="preserve"> </w:t>
      </w:r>
      <w:r w:rsidRPr="00510EC6">
        <w:rPr>
          <w:rFonts w:ascii="Times New Roman" w:hAnsi="Times New Roman" w:cs="Times New Roman"/>
        </w:rPr>
        <w:t>NRG Energy, Inc. Response to Request for Comments on the Low System-Wide Offer Cap at 3 (Mar. 19, 2021) (NRG’s Comments).</w:t>
      </w:r>
    </w:p>
  </w:footnote>
  <w:footnote w:id="2">
    <w:p w14:paraId="526595BC" w14:textId="7CB5A03E" w:rsidR="001066C0" w:rsidRPr="009B27C1" w:rsidRDefault="001066C0" w:rsidP="009B27C1">
      <w:pPr>
        <w:pStyle w:val="FootnoteText"/>
        <w:spacing w:after="120"/>
        <w:ind w:firstLine="720"/>
        <w:rPr>
          <w:rFonts w:ascii="Times New Roman" w:hAnsi="Times New Roman" w:cs="Times New Roman"/>
          <w:sz w:val="16"/>
          <w:szCs w:val="16"/>
        </w:rPr>
      </w:pPr>
      <w:r w:rsidRPr="00510EC6">
        <w:rPr>
          <w:rStyle w:val="FootnoteReference"/>
          <w:rFonts w:ascii="Times New Roman" w:hAnsi="Times New Roman" w:cs="Times New Roman"/>
        </w:rPr>
        <w:footnoteRef/>
      </w:r>
      <w:r w:rsidRPr="00510EC6">
        <w:rPr>
          <w:rFonts w:ascii="Times New Roman" w:hAnsi="Times New Roman" w:cs="Times New Roman"/>
        </w:rPr>
        <w:t xml:space="preserve"> ERCOT Protocols Section 4.4.11 System-Wide Offer Caps</w:t>
      </w:r>
      <w:r w:rsidR="00510EC6" w:rsidRPr="00510EC6">
        <w:rPr>
          <w:rFonts w:ascii="Times New Roman" w:hAnsi="Times New Roman" w:cs="Times New Roman"/>
        </w:rPr>
        <w:t>.</w:t>
      </w:r>
    </w:p>
  </w:footnote>
  <w:footnote w:id="3">
    <w:p w14:paraId="384EDF9F" w14:textId="42609A7F" w:rsidR="00C816F9" w:rsidRPr="00510EC6" w:rsidRDefault="00C816F9" w:rsidP="00510EC6">
      <w:pPr>
        <w:pStyle w:val="FootnoteText"/>
        <w:spacing w:after="120"/>
        <w:ind w:firstLine="720"/>
        <w:jc w:val="both"/>
        <w:rPr>
          <w:rFonts w:ascii="Times New Roman" w:hAnsi="Times New Roman" w:cs="Times New Roman"/>
        </w:rPr>
      </w:pPr>
      <w:r w:rsidRPr="00510EC6">
        <w:rPr>
          <w:rStyle w:val="FootnoteReference"/>
          <w:rFonts w:ascii="Times New Roman" w:hAnsi="Times New Roman" w:cs="Times New Roman"/>
        </w:rPr>
        <w:footnoteRef/>
      </w:r>
      <w:r w:rsidRPr="00510EC6">
        <w:rPr>
          <w:rFonts w:ascii="Times New Roman" w:hAnsi="Times New Roman" w:cs="Times New Roman"/>
        </w:rPr>
        <w:t xml:space="preserve"> </w:t>
      </w:r>
      <w:r w:rsidR="008538BB" w:rsidRPr="00510EC6">
        <w:rPr>
          <w:rFonts w:ascii="Times New Roman" w:hAnsi="Times New Roman" w:cs="Times New Roman"/>
          <w:i/>
          <w:iCs/>
        </w:rPr>
        <w:t xml:space="preserve">See </w:t>
      </w:r>
      <w:r w:rsidR="007D1831" w:rsidRPr="00510EC6">
        <w:rPr>
          <w:rFonts w:ascii="Times New Roman" w:hAnsi="Times New Roman" w:cs="Times New Roman"/>
          <w:i/>
          <w:iCs/>
        </w:rPr>
        <w:t xml:space="preserve">Reports of the Independent Market Monitor for the ERCOT Region, </w:t>
      </w:r>
      <w:r w:rsidR="008538BB" w:rsidRPr="00510EC6">
        <w:rPr>
          <w:rFonts w:ascii="Times New Roman" w:hAnsi="Times New Roman" w:cs="Times New Roman"/>
        </w:rPr>
        <w:t xml:space="preserve">The Independent Market Monitor’s </w:t>
      </w:r>
      <w:r w:rsidRPr="00510EC6">
        <w:rPr>
          <w:rFonts w:ascii="Times New Roman" w:hAnsi="Times New Roman" w:cs="Times New Roman"/>
        </w:rPr>
        <w:t xml:space="preserve">2019 State of the </w:t>
      </w:r>
      <w:r w:rsidR="008538BB" w:rsidRPr="00510EC6">
        <w:rPr>
          <w:rFonts w:ascii="Times New Roman" w:hAnsi="Times New Roman" w:cs="Times New Roman"/>
        </w:rPr>
        <w:t xml:space="preserve">Market Report for </w:t>
      </w:r>
      <w:r w:rsidRPr="00510EC6">
        <w:rPr>
          <w:rFonts w:ascii="Times New Roman" w:hAnsi="Times New Roman" w:cs="Times New Roman"/>
        </w:rPr>
        <w:t xml:space="preserve">ERCOT </w:t>
      </w:r>
      <w:r w:rsidR="008538BB" w:rsidRPr="00510EC6">
        <w:rPr>
          <w:rFonts w:ascii="Times New Roman" w:hAnsi="Times New Roman" w:cs="Times New Roman"/>
        </w:rPr>
        <w:t>Electricity Markets</w:t>
      </w:r>
      <w:r w:rsidR="00FA45FA" w:rsidRPr="00510EC6">
        <w:rPr>
          <w:rFonts w:ascii="Times New Roman" w:hAnsi="Times New Roman" w:cs="Times New Roman"/>
        </w:rPr>
        <w:t xml:space="preserve"> </w:t>
      </w:r>
      <w:r w:rsidR="008538BB" w:rsidRPr="00510EC6">
        <w:rPr>
          <w:rFonts w:ascii="Times New Roman" w:hAnsi="Times New Roman" w:cs="Times New Roman"/>
        </w:rPr>
        <w:t xml:space="preserve">at </w:t>
      </w:r>
      <w:r w:rsidRPr="00510EC6">
        <w:rPr>
          <w:rFonts w:ascii="Times New Roman" w:hAnsi="Times New Roman" w:cs="Times New Roman"/>
        </w:rPr>
        <w:t>79</w:t>
      </w:r>
      <w:r w:rsidR="008538BB" w:rsidRPr="00510EC6">
        <w:rPr>
          <w:rFonts w:ascii="Times New Roman" w:hAnsi="Times New Roman" w:cs="Times New Roman"/>
        </w:rPr>
        <w:t xml:space="preserve"> (May 2020)</w:t>
      </w:r>
      <w:r w:rsidRPr="00510EC6">
        <w:rPr>
          <w:rFonts w:ascii="Times New Roman" w:hAnsi="Times New Roman" w:cs="Times New Roman"/>
        </w:rPr>
        <w:t>.</w:t>
      </w:r>
    </w:p>
  </w:footnote>
  <w:footnote w:id="4">
    <w:p w14:paraId="2BACA6C9" w14:textId="7792297C" w:rsidR="00BE201C" w:rsidRPr="00FA45FA" w:rsidRDefault="00BE201C" w:rsidP="00ED1C97">
      <w:pPr>
        <w:pStyle w:val="FootnoteText"/>
        <w:spacing w:after="120"/>
        <w:ind w:firstLine="720"/>
        <w:rPr>
          <w:rFonts w:ascii="Times New Roman" w:hAnsi="Times New Roman" w:cs="Times New Roman"/>
        </w:rPr>
      </w:pPr>
      <w:r w:rsidRPr="00FA45FA">
        <w:rPr>
          <w:rStyle w:val="FootnoteReference"/>
          <w:rFonts w:ascii="Times New Roman" w:hAnsi="Times New Roman" w:cs="Times New Roman"/>
        </w:rPr>
        <w:footnoteRef/>
      </w:r>
      <w:r w:rsidRPr="00FA45FA">
        <w:rPr>
          <w:rFonts w:ascii="Times New Roman" w:hAnsi="Times New Roman" w:cs="Times New Roman"/>
        </w:rPr>
        <w:t xml:space="preserve"> </w:t>
      </w:r>
      <w:r w:rsidR="00FE4817" w:rsidRPr="00FA45FA">
        <w:rPr>
          <w:rFonts w:ascii="Times New Roman" w:hAnsi="Times New Roman" w:cs="Times New Roman"/>
        </w:rPr>
        <w:t>ERCOT’s</w:t>
      </w:r>
      <w:r w:rsidR="00DA689A" w:rsidRPr="00FA45FA">
        <w:rPr>
          <w:rFonts w:ascii="Times New Roman" w:hAnsi="Times New Roman" w:cs="Times New Roman"/>
        </w:rPr>
        <w:t xml:space="preserve"> posting of the</w:t>
      </w:r>
      <w:r w:rsidR="00FE4817" w:rsidRPr="00FA45FA">
        <w:rPr>
          <w:rFonts w:ascii="Times New Roman" w:hAnsi="Times New Roman" w:cs="Times New Roman"/>
        </w:rPr>
        <w:t xml:space="preserve"> </w:t>
      </w:r>
      <w:r w:rsidRPr="00FA45FA">
        <w:rPr>
          <w:rFonts w:ascii="Times New Roman" w:hAnsi="Times New Roman" w:cs="Times New Roman"/>
        </w:rPr>
        <w:t>“Peaker Net Margin”</w:t>
      </w:r>
      <w:r w:rsidR="000418D8" w:rsidRPr="00FA45FA">
        <w:rPr>
          <w:rFonts w:ascii="Times New Roman" w:hAnsi="Times New Roman" w:cs="Times New Roman"/>
        </w:rPr>
        <w:t xml:space="preserve"> for Mar</w:t>
      </w:r>
      <w:r w:rsidR="006A47D7" w:rsidRPr="00FA45FA">
        <w:rPr>
          <w:rFonts w:ascii="Times New Roman" w:hAnsi="Times New Roman" w:cs="Times New Roman"/>
        </w:rPr>
        <w:t>.</w:t>
      </w:r>
      <w:r w:rsidR="000418D8" w:rsidRPr="00FA45FA">
        <w:rPr>
          <w:rFonts w:ascii="Times New Roman" w:hAnsi="Times New Roman" w:cs="Times New Roman"/>
        </w:rPr>
        <w:t xml:space="preserve"> 21, 2021 </w:t>
      </w:r>
      <w:r w:rsidR="00FE4817" w:rsidRPr="00FA45FA">
        <w:rPr>
          <w:rFonts w:ascii="Times New Roman" w:hAnsi="Times New Roman" w:cs="Times New Roman"/>
        </w:rPr>
        <w:t>(available</w:t>
      </w:r>
      <w:r w:rsidRPr="00FA45FA">
        <w:rPr>
          <w:rFonts w:ascii="Times New Roman" w:hAnsi="Times New Roman" w:cs="Times New Roman"/>
        </w:rPr>
        <w:t xml:space="preserve"> at http://www.ercot.com/mktinfo</w:t>
      </w:r>
      <w:r w:rsidR="00FE4817" w:rsidRPr="00FA45FA">
        <w:rPr>
          <w:rFonts w:ascii="Times New Roman" w:hAnsi="Times New Roman" w:cs="Times New Roman"/>
        </w:rPr>
        <w:t>)</w:t>
      </w:r>
      <w:r w:rsidRPr="00FA45FA">
        <w:rPr>
          <w:rFonts w:ascii="Times New Roman" w:hAnsi="Times New Roman" w:cs="Times New Roman"/>
        </w:rPr>
        <w:t>.</w:t>
      </w:r>
    </w:p>
  </w:footnote>
  <w:footnote w:id="5">
    <w:p w14:paraId="292031DA" w14:textId="7CA596AB" w:rsidR="009C24B5" w:rsidRPr="00FA45FA" w:rsidRDefault="009C24B5" w:rsidP="00ED1C97">
      <w:pPr>
        <w:pStyle w:val="FootnoteText"/>
        <w:spacing w:after="120"/>
        <w:ind w:firstLine="720"/>
        <w:rPr>
          <w:rFonts w:ascii="Times New Roman" w:hAnsi="Times New Roman" w:cs="Times New Roman"/>
        </w:rPr>
      </w:pPr>
      <w:r w:rsidRPr="00FA45FA">
        <w:rPr>
          <w:rStyle w:val="FootnoteReference"/>
          <w:rFonts w:ascii="Times New Roman" w:hAnsi="Times New Roman" w:cs="Times New Roman"/>
        </w:rPr>
        <w:footnoteRef/>
      </w:r>
      <w:r w:rsidRPr="00FA45FA">
        <w:rPr>
          <w:rFonts w:ascii="Times New Roman" w:hAnsi="Times New Roman" w:cs="Times New Roman"/>
        </w:rPr>
        <w:t xml:space="preserve"> ERCOT Market Notice “Payments by Short-Paying Invoice Recipients and Estimated Cumulative Aggregate Short Pay Amount” dated </w:t>
      </w:r>
      <w:r w:rsidR="006A47D7" w:rsidRPr="00FA45FA">
        <w:rPr>
          <w:rFonts w:ascii="Times New Roman" w:hAnsi="Times New Roman" w:cs="Times New Roman"/>
        </w:rPr>
        <w:t xml:space="preserve">Mar. </w:t>
      </w:r>
      <w:r w:rsidRPr="00FA45FA">
        <w:rPr>
          <w:rFonts w:ascii="Times New Roman" w:hAnsi="Times New Roman" w:cs="Times New Roman"/>
        </w:rPr>
        <w:t>17, 2021.</w:t>
      </w:r>
    </w:p>
  </w:footnote>
  <w:footnote w:id="6">
    <w:p w14:paraId="1230A647" w14:textId="7565E74C" w:rsidR="004A133E" w:rsidRPr="00FA45FA" w:rsidRDefault="004A133E" w:rsidP="00ED1C97">
      <w:pPr>
        <w:pStyle w:val="FootnoteText"/>
        <w:spacing w:after="120"/>
        <w:ind w:firstLine="720"/>
        <w:rPr>
          <w:rFonts w:ascii="Times New Roman" w:hAnsi="Times New Roman" w:cs="Times New Roman"/>
        </w:rPr>
      </w:pPr>
      <w:r w:rsidRPr="00FA45FA">
        <w:rPr>
          <w:rStyle w:val="FootnoteReference"/>
          <w:rFonts w:ascii="Times New Roman" w:hAnsi="Times New Roman" w:cs="Times New Roman"/>
        </w:rPr>
        <w:footnoteRef/>
      </w:r>
      <w:r w:rsidRPr="00FA45FA">
        <w:rPr>
          <w:rFonts w:ascii="Times New Roman" w:hAnsi="Times New Roman" w:cs="Times New Roman"/>
        </w:rPr>
        <w:t xml:space="preserve"> NRG’s Comments</w:t>
      </w:r>
      <w:r w:rsidR="00961E4E">
        <w:rPr>
          <w:rFonts w:ascii="Times New Roman" w:hAnsi="Times New Roman" w:cs="Times New Roman"/>
        </w:rPr>
        <w:t xml:space="preserve"> at 3</w:t>
      </w:r>
      <w:r w:rsidRPr="00FA45FA">
        <w:rPr>
          <w:rFonts w:ascii="Times New Roman" w:hAnsi="Times New Roman" w:cs="Times New Roman"/>
        </w:rPr>
        <w:t>.</w:t>
      </w:r>
    </w:p>
  </w:footnote>
  <w:footnote w:id="7">
    <w:p w14:paraId="3A3E816F" w14:textId="1AD5D09D" w:rsidR="006F4715" w:rsidRPr="00FA45FA" w:rsidRDefault="006F4715" w:rsidP="00ED1C97">
      <w:pPr>
        <w:pStyle w:val="FootnoteText"/>
        <w:spacing w:after="120"/>
        <w:ind w:firstLine="720"/>
        <w:rPr>
          <w:rFonts w:ascii="Times New Roman" w:hAnsi="Times New Roman" w:cs="Times New Roman"/>
        </w:rPr>
      </w:pPr>
      <w:r w:rsidRPr="00FA45FA">
        <w:rPr>
          <w:rStyle w:val="FootnoteReference"/>
          <w:rFonts w:ascii="Times New Roman" w:hAnsi="Times New Roman" w:cs="Times New Roman"/>
        </w:rPr>
        <w:footnoteRef/>
      </w:r>
      <w:r w:rsidRPr="00ED1C97">
        <w:rPr>
          <w:rStyle w:val="FootnoteReference"/>
          <w:rFonts w:ascii="Times New Roman" w:hAnsi="Times New Roman" w:cs="Times New Roman"/>
        </w:rPr>
        <w:t xml:space="preserve">  </w:t>
      </w:r>
      <w:r w:rsidRPr="00ED1C97">
        <w:rPr>
          <w:rStyle w:val="FootnoteReference"/>
          <w:rFonts w:ascii="Times New Roman" w:hAnsi="Times New Roman" w:cs="Times New Roman"/>
          <w:vertAlign w:val="baseline"/>
        </w:rPr>
        <w:t>16 TAC §</w:t>
      </w:r>
      <w:r w:rsidRPr="00FA45FA">
        <w:rPr>
          <w:rFonts w:ascii="Times New Roman" w:hAnsi="Times New Roman" w:cs="Times New Roman"/>
        </w:rPr>
        <w:t xml:space="preserve"> 25.505</w:t>
      </w:r>
      <w:r w:rsidR="00360A04" w:rsidRPr="00FA45FA">
        <w:rPr>
          <w:rFonts w:ascii="Times New Roman" w:hAnsi="Times New Roman" w:cs="Times New Roman"/>
        </w:rPr>
        <w:t xml:space="preserve">(g)(6)(A)(ii). </w:t>
      </w:r>
    </w:p>
  </w:footnote>
  <w:footnote w:id="8">
    <w:p w14:paraId="22C2CF08" w14:textId="777C5E87" w:rsidR="00721AD5" w:rsidRPr="00510EC6" w:rsidRDefault="00721AD5" w:rsidP="00E743B5">
      <w:pPr>
        <w:pStyle w:val="FootnoteText"/>
        <w:spacing w:after="120"/>
        <w:ind w:firstLine="720"/>
        <w:jc w:val="both"/>
        <w:rPr>
          <w:rFonts w:ascii="Times New Roman" w:hAnsi="Times New Roman" w:cs="Times New Roman"/>
        </w:rPr>
      </w:pPr>
      <w:r w:rsidRPr="00FA45FA">
        <w:rPr>
          <w:rStyle w:val="FootnoteReference"/>
          <w:rFonts w:ascii="Times New Roman" w:hAnsi="Times New Roman" w:cs="Times New Roman"/>
        </w:rPr>
        <w:footnoteRef/>
      </w:r>
      <w:r w:rsidRPr="00FA45FA">
        <w:rPr>
          <w:rFonts w:ascii="Times New Roman" w:hAnsi="Times New Roman" w:cs="Times New Roman"/>
        </w:rPr>
        <w:t xml:space="preserve"> </w:t>
      </w:r>
      <w:r w:rsidR="00084EF8" w:rsidRPr="00FA45FA">
        <w:rPr>
          <w:rFonts w:ascii="Times New Roman" w:hAnsi="Times New Roman" w:cs="Times New Roman"/>
        </w:rPr>
        <w:t xml:space="preserve"> </w:t>
      </w:r>
      <w:r w:rsidR="00FF12B0" w:rsidRPr="00510EC6">
        <w:rPr>
          <w:rFonts w:ascii="Times New Roman" w:hAnsi="Times New Roman" w:cs="Times New Roman"/>
        </w:rPr>
        <w:t xml:space="preserve">Comments of </w:t>
      </w:r>
      <w:r w:rsidR="00084EF8" w:rsidRPr="00510EC6">
        <w:rPr>
          <w:rFonts w:ascii="Times New Roman" w:hAnsi="Times New Roman" w:cs="Times New Roman"/>
        </w:rPr>
        <w:t>Texas Coalition for Affordable Power</w:t>
      </w:r>
      <w:r w:rsidR="00DE0294" w:rsidRPr="00510EC6">
        <w:rPr>
          <w:rFonts w:ascii="Times New Roman" w:hAnsi="Times New Roman" w:cs="Times New Roman"/>
        </w:rPr>
        <w:t xml:space="preserve"> at 2</w:t>
      </w:r>
      <w:r w:rsidR="00FF12B0" w:rsidRPr="00510EC6">
        <w:rPr>
          <w:rFonts w:ascii="Times New Roman" w:hAnsi="Times New Roman" w:cs="Times New Roman"/>
        </w:rPr>
        <w:t xml:space="preserve"> (Mar. 19, 2021);</w:t>
      </w:r>
      <w:r w:rsidR="00084EF8" w:rsidRPr="00510EC6">
        <w:rPr>
          <w:rFonts w:ascii="Times New Roman" w:hAnsi="Times New Roman" w:cs="Times New Roman"/>
        </w:rPr>
        <w:t xml:space="preserve"> </w:t>
      </w:r>
      <w:r w:rsidR="00FF12B0" w:rsidRPr="00510EC6">
        <w:rPr>
          <w:rFonts w:ascii="Times New Roman" w:hAnsi="Times New Roman" w:cs="Times New Roman"/>
        </w:rPr>
        <w:t xml:space="preserve">Comments of </w:t>
      </w:r>
      <w:r w:rsidR="00DE0294" w:rsidRPr="00510EC6">
        <w:rPr>
          <w:rFonts w:ascii="Times New Roman" w:hAnsi="Times New Roman" w:cs="Times New Roman"/>
        </w:rPr>
        <w:t>Potomac Economics (</w:t>
      </w:r>
      <w:r w:rsidR="00FF12B0" w:rsidRPr="00510EC6">
        <w:rPr>
          <w:rFonts w:ascii="Times New Roman" w:hAnsi="Times New Roman" w:cs="Times New Roman"/>
        </w:rPr>
        <w:t xml:space="preserve">the </w:t>
      </w:r>
      <w:r w:rsidR="00084EF8" w:rsidRPr="00510EC6">
        <w:rPr>
          <w:rFonts w:ascii="Times New Roman" w:hAnsi="Times New Roman" w:cs="Times New Roman"/>
        </w:rPr>
        <w:t>Independent Market Monitor</w:t>
      </w:r>
      <w:r w:rsidR="00DE0294" w:rsidRPr="00510EC6">
        <w:rPr>
          <w:rFonts w:ascii="Times New Roman" w:hAnsi="Times New Roman" w:cs="Times New Roman"/>
        </w:rPr>
        <w:t>) at 2-3</w:t>
      </w:r>
      <w:r w:rsidR="00FF12B0" w:rsidRPr="00510EC6">
        <w:rPr>
          <w:rFonts w:ascii="Times New Roman" w:hAnsi="Times New Roman" w:cs="Times New Roman"/>
        </w:rPr>
        <w:t xml:space="preserve"> (Mar. 19, 2021); </w:t>
      </w:r>
      <w:r w:rsidR="00084EF8" w:rsidRPr="00510EC6">
        <w:rPr>
          <w:rFonts w:ascii="Times New Roman" w:hAnsi="Times New Roman" w:cs="Times New Roman"/>
        </w:rPr>
        <w:t>Texas Public Power Association</w:t>
      </w:r>
      <w:r w:rsidR="00DA689A" w:rsidRPr="00510EC6">
        <w:rPr>
          <w:rFonts w:ascii="Times New Roman" w:hAnsi="Times New Roman" w:cs="Times New Roman"/>
        </w:rPr>
        <w:t>’s Initial Comments</w:t>
      </w:r>
      <w:r w:rsidR="00DA689A" w:rsidRPr="009B27C1">
        <w:rPr>
          <w:rFonts w:ascii="Times New Roman" w:hAnsi="Times New Roman" w:cs="Times New Roman"/>
        </w:rPr>
        <w:t xml:space="preserve"> Regarding the Review of the ERCOT Scarcity Pricing Mechanism</w:t>
      </w:r>
      <w:r w:rsidR="00FF12B0" w:rsidRPr="009B27C1">
        <w:rPr>
          <w:rFonts w:ascii="Times New Roman" w:hAnsi="Times New Roman" w:cs="Times New Roman"/>
        </w:rPr>
        <w:t xml:space="preserve"> </w:t>
      </w:r>
      <w:r w:rsidR="00ED4BB9" w:rsidRPr="009B27C1">
        <w:rPr>
          <w:rFonts w:ascii="Times New Roman" w:hAnsi="Times New Roman" w:cs="Times New Roman"/>
        </w:rPr>
        <w:t xml:space="preserve">at 5 </w:t>
      </w:r>
      <w:r w:rsidR="00FF12B0" w:rsidRPr="009B27C1">
        <w:rPr>
          <w:rFonts w:ascii="Times New Roman" w:hAnsi="Times New Roman" w:cs="Times New Roman"/>
        </w:rPr>
        <w:t xml:space="preserve">(Mar. 19, 2021); </w:t>
      </w:r>
      <w:r w:rsidR="00ED4BB9" w:rsidRPr="009B27C1">
        <w:rPr>
          <w:rFonts w:ascii="Times New Roman" w:hAnsi="Times New Roman" w:cs="Times New Roman"/>
        </w:rPr>
        <w:t xml:space="preserve">Initial </w:t>
      </w:r>
      <w:r w:rsidR="00FF12B0" w:rsidRPr="009B27C1">
        <w:rPr>
          <w:rFonts w:ascii="Times New Roman" w:hAnsi="Times New Roman" w:cs="Times New Roman"/>
        </w:rPr>
        <w:t>Comments of</w:t>
      </w:r>
      <w:r w:rsidR="00084EF8" w:rsidRPr="009B27C1">
        <w:rPr>
          <w:rFonts w:ascii="Times New Roman" w:hAnsi="Times New Roman" w:cs="Times New Roman"/>
        </w:rPr>
        <w:t xml:space="preserve"> </w:t>
      </w:r>
      <w:r w:rsidR="00084EF8" w:rsidRPr="00510EC6">
        <w:rPr>
          <w:rFonts w:ascii="Times New Roman" w:hAnsi="Times New Roman" w:cs="Times New Roman"/>
        </w:rPr>
        <w:t>Texas Electric Cooperatives</w:t>
      </w:r>
      <w:r w:rsidR="00DA689A" w:rsidRPr="00510EC6">
        <w:rPr>
          <w:rFonts w:ascii="Times New Roman" w:hAnsi="Times New Roman" w:cs="Times New Roman"/>
        </w:rPr>
        <w:t>, Inc. at</w:t>
      </w:r>
      <w:r w:rsidR="00FF12B0" w:rsidRPr="00510EC6">
        <w:rPr>
          <w:rFonts w:ascii="Times New Roman" w:hAnsi="Times New Roman" w:cs="Times New Roman"/>
        </w:rPr>
        <w:t xml:space="preserve"> </w:t>
      </w:r>
      <w:r w:rsidR="001349D2" w:rsidRPr="00510EC6">
        <w:rPr>
          <w:rFonts w:ascii="Times New Roman" w:hAnsi="Times New Roman" w:cs="Times New Roman"/>
        </w:rPr>
        <w:t>4</w:t>
      </w:r>
      <w:r w:rsidR="00510EC6" w:rsidRPr="00510EC6">
        <w:rPr>
          <w:rFonts w:ascii="Times New Roman" w:hAnsi="Times New Roman" w:cs="Times New Roman"/>
        </w:rPr>
        <w:t xml:space="preserve"> </w:t>
      </w:r>
      <w:r w:rsidR="00FF12B0" w:rsidRPr="00510EC6">
        <w:rPr>
          <w:rFonts w:ascii="Times New Roman" w:hAnsi="Times New Roman" w:cs="Times New Roman"/>
        </w:rPr>
        <w:t xml:space="preserve">(Mar. 19, 2021); </w:t>
      </w:r>
      <w:r w:rsidR="00084EF8" w:rsidRPr="00510EC6">
        <w:rPr>
          <w:rFonts w:ascii="Times New Roman" w:hAnsi="Times New Roman" w:cs="Times New Roman"/>
        </w:rPr>
        <w:t>South Texas Electric Cooperative</w:t>
      </w:r>
      <w:r w:rsidR="001349D2" w:rsidRPr="00510EC6">
        <w:rPr>
          <w:rFonts w:ascii="Times New Roman" w:hAnsi="Times New Roman" w:cs="Times New Roman"/>
        </w:rPr>
        <w:t>, Inc.’s Initial Comments to Commission Questions on the Low System-Wide Offer Cap at 3</w:t>
      </w:r>
      <w:r w:rsidR="00FF12B0" w:rsidRPr="00510EC6">
        <w:rPr>
          <w:rFonts w:ascii="Times New Roman" w:hAnsi="Times New Roman" w:cs="Times New Roman"/>
        </w:rPr>
        <w:t xml:space="preserve"> (Mar. 19, 2021)</w:t>
      </w:r>
      <w:r w:rsidR="00A43271" w:rsidRPr="00510EC6">
        <w:rPr>
          <w:rFonts w:ascii="Times New Roman" w:hAnsi="Times New Roman" w:cs="Times New Roman"/>
        </w:rPr>
        <w:t xml:space="preserve"> (STEC’s Comments)</w:t>
      </w:r>
      <w:r w:rsidR="00FF12B0" w:rsidRPr="00510EC6">
        <w:rPr>
          <w:rFonts w:ascii="Times New Roman" w:hAnsi="Times New Roman" w:cs="Times New Roman"/>
        </w:rPr>
        <w:t xml:space="preserve">; </w:t>
      </w:r>
      <w:r w:rsidR="00EF1D0A" w:rsidRPr="00510EC6">
        <w:rPr>
          <w:rFonts w:ascii="Times New Roman" w:hAnsi="Times New Roman" w:cs="Times New Roman"/>
        </w:rPr>
        <w:t xml:space="preserve">and </w:t>
      </w:r>
      <w:r w:rsidR="00084EF8" w:rsidRPr="00510EC6">
        <w:rPr>
          <w:rFonts w:ascii="Times New Roman" w:hAnsi="Times New Roman" w:cs="Times New Roman"/>
        </w:rPr>
        <w:t>Calpine</w:t>
      </w:r>
      <w:r w:rsidR="00FF12B0" w:rsidRPr="00510EC6">
        <w:rPr>
          <w:rFonts w:ascii="Times New Roman" w:hAnsi="Times New Roman" w:cs="Times New Roman"/>
        </w:rPr>
        <w:t xml:space="preserve"> </w:t>
      </w:r>
      <w:r w:rsidR="00EF1D0A" w:rsidRPr="00510EC6">
        <w:rPr>
          <w:rFonts w:ascii="Times New Roman" w:hAnsi="Times New Roman" w:cs="Times New Roman"/>
        </w:rPr>
        <w:t xml:space="preserve">Corporation Initial Comments Regarding the Staff Questions at 3 </w:t>
      </w:r>
      <w:r w:rsidR="00FF12B0" w:rsidRPr="00510EC6">
        <w:rPr>
          <w:rFonts w:ascii="Times New Roman" w:hAnsi="Times New Roman" w:cs="Times New Roman"/>
        </w:rPr>
        <w:t>(Mar. 19, 2021)</w:t>
      </w:r>
      <w:r w:rsidR="00EF1D0A" w:rsidRPr="00510EC6">
        <w:rPr>
          <w:rFonts w:ascii="Times New Roman" w:hAnsi="Times New Roman" w:cs="Times New Roman"/>
        </w:rPr>
        <w:t xml:space="preserve">.  </w:t>
      </w:r>
      <w:r w:rsidR="00FF12B0" w:rsidRPr="00510EC6">
        <w:rPr>
          <w:rFonts w:ascii="Times New Roman" w:hAnsi="Times New Roman" w:cs="Times New Roman"/>
        </w:rPr>
        <w:t xml:space="preserve">Comments of </w:t>
      </w:r>
      <w:r w:rsidR="00084EF8" w:rsidRPr="00510EC6">
        <w:rPr>
          <w:rFonts w:ascii="Times New Roman" w:hAnsi="Times New Roman" w:cs="Times New Roman"/>
        </w:rPr>
        <w:t xml:space="preserve">Texas Solar Power Association </w:t>
      </w:r>
      <w:r w:rsidR="00EF1D0A" w:rsidRPr="00510EC6">
        <w:rPr>
          <w:rFonts w:ascii="Times New Roman" w:hAnsi="Times New Roman" w:cs="Times New Roman"/>
        </w:rPr>
        <w:t xml:space="preserve">at 2 </w:t>
      </w:r>
      <w:r w:rsidR="00084EF8" w:rsidRPr="00510EC6">
        <w:rPr>
          <w:rFonts w:ascii="Times New Roman" w:hAnsi="Times New Roman" w:cs="Times New Roman"/>
        </w:rPr>
        <w:t xml:space="preserve">(Mar. </w:t>
      </w:r>
      <w:r w:rsidR="00FF12B0" w:rsidRPr="00510EC6">
        <w:rPr>
          <w:rFonts w:ascii="Times New Roman" w:hAnsi="Times New Roman" w:cs="Times New Roman"/>
        </w:rPr>
        <w:t>19, 2021)</w:t>
      </w:r>
      <w:r w:rsidR="00987181" w:rsidRPr="00510EC6">
        <w:rPr>
          <w:rFonts w:ascii="Times New Roman" w:hAnsi="Times New Roman" w:cs="Times New Roman"/>
        </w:rPr>
        <w:t xml:space="preserve"> (TSPA’s Comments)</w:t>
      </w:r>
      <w:r w:rsidR="00EF1D0A" w:rsidRPr="00510EC6">
        <w:rPr>
          <w:rFonts w:ascii="Times New Roman" w:hAnsi="Times New Roman" w:cs="Times New Roman"/>
        </w:rPr>
        <w:t xml:space="preserve"> </w:t>
      </w:r>
      <w:r w:rsidR="000152B2" w:rsidRPr="00510EC6">
        <w:rPr>
          <w:rFonts w:ascii="Times New Roman" w:hAnsi="Times New Roman" w:cs="Times New Roman"/>
        </w:rPr>
        <w:t xml:space="preserve">also </w:t>
      </w:r>
      <w:r w:rsidR="00EF1D0A" w:rsidRPr="00510EC6">
        <w:rPr>
          <w:rFonts w:ascii="Times New Roman" w:hAnsi="Times New Roman" w:cs="Times New Roman"/>
        </w:rPr>
        <w:t xml:space="preserve">suggested such a cap as </w:t>
      </w:r>
      <w:r w:rsidR="000152B2" w:rsidRPr="00510EC6">
        <w:rPr>
          <w:rFonts w:ascii="Times New Roman" w:hAnsi="Times New Roman" w:cs="Times New Roman"/>
        </w:rPr>
        <w:t xml:space="preserve">one </w:t>
      </w:r>
      <w:r w:rsidR="00EF1D0A" w:rsidRPr="00510EC6">
        <w:rPr>
          <w:rFonts w:ascii="Times New Roman" w:hAnsi="Times New Roman" w:cs="Times New Roman"/>
        </w:rPr>
        <w:t>option for consideration</w:t>
      </w:r>
      <w:r w:rsidR="00FF12B0" w:rsidRPr="00510EC6">
        <w:rPr>
          <w:rFonts w:ascii="Times New Roman" w:hAnsi="Times New Roman" w:cs="Times New Roman"/>
        </w:rPr>
        <w:t>.</w:t>
      </w:r>
    </w:p>
  </w:footnote>
  <w:footnote w:id="9">
    <w:p w14:paraId="15DF53EA" w14:textId="372649AD" w:rsidR="00E312D2" w:rsidRPr="00FA45FA" w:rsidRDefault="00E312D2" w:rsidP="008F4D6D">
      <w:pPr>
        <w:pStyle w:val="FootnoteText"/>
        <w:ind w:firstLine="720"/>
        <w:jc w:val="both"/>
        <w:rPr>
          <w:rFonts w:ascii="Times New Roman" w:hAnsi="Times New Roman" w:cs="Times New Roman"/>
        </w:rPr>
      </w:pPr>
      <w:r w:rsidRPr="00FA45FA">
        <w:rPr>
          <w:rStyle w:val="FootnoteReference"/>
          <w:rFonts w:ascii="Times New Roman" w:hAnsi="Times New Roman" w:cs="Times New Roman"/>
        </w:rPr>
        <w:footnoteRef/>
      </w:r>
      <w:r w:rsidRPr="00FA45FA">
        <w:rPr>
          <w:rFonts w:ascii="Times New Roman" w:hAnsi="Times New Roman" w:cs="Times New Roman"/>
        </w:rPr>
        <w:t xml:space="preserve"> </w:t>
      </w:r>
      <w:r w:rsidR="001A7A5C" w:rsidRPr="00FA45FA">
        <w:rPr>
          <w:rFonts w:ascii="Times New Roman" w:hAnsi="Times New Roman" w:cs="Times New Roman"/>
        </w:rPr>
        <w:t xml:space="preserve"> Texas Industrial Energy Consumers’ Initial Comments on the Low System-Wide Offer Cap at </w:t>
      </w:r>
      <w:r w:rsidR="00A43271" w:rsidRPr="00FA45FA">
        <w:rPr>
          <w:rFonts w:ascii="Times New Roman" w:hAnsi="Times New Roman" w:cs="Times New Roman"/>
        </w:rPr>
        <w:t xml:space="preserve">3-6, 8 </w:t>
      </w:r>
      <w:r w:rsidR="001A7A5C" w:rsidRPr="00FA45FA">
        <w:rPr>
          <w:rFonts w:ascii="Times New Roman" w:hAnsi="Times New Roman" w:cs="Times New Roman"/>
        </w:rPr>
        <w:t>(Mar. 19, 2021) (TIEC</w:t>
      </w:r>
      <w:r w:rsidR="00A43271" w:rsidRPr="00FA45FA">
        <w:rPr>
          <w:rFonts w:ascii="Times New Roman" w:hAnsi="Times New Roman" w:cs="Times New Roman"/>
        </w:rPr>
        <w:t>’s</w:t>
      </w:r>
      <w:r w:rsidR="001A7A5C" w:rsidRPr="00FA45FA">
        <w:rPr>
          <w:rFonts w:ascii="Times New Roman" w:hAnsi="Times New Roman" w:cs="Times New Roman"/>
        </w:rPr>
        <w:t xml:space="preserve"> Comments)</w:t>
      </w:r>
      <w:r w:rsidR="00A43271" w:rsidRPr="00FA45FA">
        <w:rPr>
          <w:rFonts w:ascii="Times New Roman" w:hAnsi="Times New Roman" w:cs="Times New Roman"/>
        </w:rPr>
        <w:t xml:space="preserve">; </w:t>
      </w:r>
      <w:r w:rsidR="0090215A" w:rsidRPr="00FA45FA">
        <w:rPr>
          <w:rFonts w:ascii="Times New Roman" w:hAnsi="Times New Roman" w:cs="Times New Roman"/>
        </w:rPr>
        <w:t>STEC’s Comments at 4</w:t>
      </w:r>
      <w:r w:rsidR="003904AC" w:rsidRPr="00FA45FA">
        <w:rPr>
          <w:rFonts w:ascii="Times New Roman" w:hAnsi="Times New Roman" w:cs="Times New Roman"/>
        </w:rPr>
        <w:t xml:space="preserve">.  </w:t>
      </w:r>
      <w:r w:rsidR="00987181" w:rsidRPr="00FA45FA">
        <w:rPr>
          <w:rFonts w:ascii="Times New Roman" w:hAnsi="Times New Roman" w:cs="Times New Roman"/>
        </w:rPr>
        <w:t xml:space="preserve">TSPA’s Comments at </w:t>
      </w:r>
      <w:r w:rsidR="003904AC" w:rsidRPr="00FA45FA">
        <w:rPr>
          <w:rFonts w:ascii="Times New Roman" w:hAnsi="Times New Roman" w:cs="Times New Roman"/>
        </w:rPr>
        <w:t>2 also recommended consideration of event-based caps or a seasonal trigger.</w:t>
      </w:r>
    </w:p>
  </w:footnote>
  <w:footnote w:id="10">
    <w:p w14:paraId="14894FFD" w14:textId="3136D102" w:rsidR="00E63B4D" w:rsidRDefault="00E63B4D" w:rsidP="0050667B">
      <w:pPr>
        <w:pStyle w:val="FootnoteText"/>
        <w:spacing w:before="120" w:after="120"/>
        <w:ind w:firstLine="720"/>
      </w:pPr>
      <w:r w:rsidRPr="00FA45FA">
        <w:rPr>
          <w:rStyle w:val="FootnoteReference"/>
          <w:rFonts w:ascii="Times New Roman" w:hAnsi="Times New Roman" w:cs="Times New Roman"/>
        </w:rPr>
        <w:footnoteRef/>
      </w:r>
      <w:r w:rsidRPr="00FA45FA">
        <w:rPr>
          <w:rFonts w:ascii="Times New Roman" w:hAnsi="Times New Roman" w:cs="Times New Roman"/>
        </w:rPr>
        <w:t xml:space="preserve"> </w:t>
      </w:r>
      <w:r w:rsidR="0050667B" w:rsidRPr="00FA45FA">
        <w:rPr>
          <w:rFonts w:ascii="Times New Roman" w:hAnsi="Times New Roman" w:cs="Times New Roman"/>
        </w:rPr>
        <w:t xml:space="preserve"> TIEC’s Comments at 10.</w:t>
      </w:r>
      <w:r w:rsidR="0050667B">
        <w:t xml:space="preserve"> </w:t>
      </w:r>
    </w:p>
  </w:footnote>
  <w:footnote w:id="11">
    <w:p w14:paraId="2E30B85E" w14:textId="6103E68E" w:rsidR="00C956ED" w:rsidRPr="008F4D6D" w:rsidRDefault="00C956ED" w:rsidP="00EF5662">
      <w:pPr>
        <w:pStyle w:val="FootnoteText"/>
        <w:ind w:firstLine="720"/>
        <w:rPr>
          <w:rFonts w:ascii="Times New Roman" w:hAnsi="Times New Roman" w:cs="Times New Roman"/>
        </w:rPr>
      </w:pPr>
      <w:r w:rsidRPr="008F4D6D">
        <w:rPr>
          <w:rStyle w:val="FootnoteReference"/>
          <w:rFonts w:ascii="Times New Roman" w:hAnsi="Times New Roman" w:cs="Times New Roman"/>
        </w:rPr>
        <w:footnoteRef/>
      </w:r>
      <w:r w:rsidRPr="008F4D6D">
        <w:rPr>
          <w:rFonts w:ascii="Times New Roman" w:hAnsi="Times New Roman" w:cs="Times New Roman"/>
        </w:rPr>
        <w:t xml:space="preserve"> </w:t>
      </w:r>
      <w:r w:rsidR="00A43271" w:rsidRPr="008F4D6D">
        <w:rPr>
          <w:rFonts w:ascii="Times New Roman" w:hAnsi="Times New Roman" w:cs="Times New Roman"/>
        </w:rPr>
        <w:t xml:space="preserve"> </w:t>
      </w:r>
      <w:r w:rsidR="0068737C" w:rsidRPr="008F4D6D">
        <w:rPr>
          <w:rFonts w:ascii="Times New Roman" w:hAnsi="Times New Roman" w:cs="Times New Roman"/>
        </w:rPr>
        <w:t>TIEC</w:t>
      </w:r>
      <w:r w:rsidR="00A43271" w:rsidRPr="008F4D6D">
        <w:rPr>
          <w:rFonts w:ascii="Times New Roman" w:hAnsi="Times New Roman" w:cs="Times New Roman"/>
        </w:rPr>
        <w:t>’s</w:t>
      </w:r>
      <w:r w:rsidR="0068737C" w:rsidRPr="008F4D6D">
        <w:rPr>
          <w:rFonts w:ascii="Times New Roman" w:hAnsi="Times New Roman" w:cs="Times New Roman"/>
        </w:rPr>
        <w:t xml:space="preserve"> Comments at 10.  </w:t>
      </w:r>
    </w:p>
  </w:footnote>
  <w:footnote w:id="12">
    <w:p w14:paraId="36A04348" w14:textId="2A3D8E69" w:rsidR="005D748F" w:rsidRPr="008F4D6D" w:rsidRDefault="005D748F" w:rsidP="005D748F">
      <w:pPr>
        <w:pStyle w:val="FootnoteText"/>
        <w:ind w:firstLine="720"/>
        <w:rPr>
          <w:rFonts w:ascii="Times New Roman" w:hAnsi="Times New Roman" w:cs="Times New Roman"/>
        </w:rPr>
      </w:pPr>
      <w:r w:rsidRPr="008F4D6D">
        <w:rPr>
          <w:rStyle w:val="FootnoteReference"/>
          <w:rFonts w:ascii="Times New Roman" w:hAnsi="Times New Roman" w:cs="Times New Roman"/>
        </w:rPr>
        <w:footnoteRef/>
      </w:r>
      <w:r w:rsidRPr="008F4D6D">
        <w:rPr>
          <w:rFonts w:ascii="Times New Roman" w:hAnsi="Times New Roman" w:cs="Times New Roman"/>
        </w:rPr>
        <w:t xml:space="preserve">  TIEC</w:t>
      </w:r>
      <w:r w:rsidR="00A43271" w:rsidRPr="008F4D6D">
        <w:rPr>
          <w:rFonts w:ascii="Times New Roman" w:hAnsi="Times New Roman" w:cs="Times New Roman"/>
        </w:rPr>
        <w:t>’s</w:t>
      </w:r>
      <w:r w:rsidRPr="008F4D6D">
        <w:rPr>
          <w:rFonts w:ascii="Times New Roman" w:hAnsi="Times New Roman" w:cs="Times New Roman"/>
        </w:rPr>
        <w:t xml:space="preserve"> Comments at 10.  </w:t>
      </w:r>
    </w:p>
  </w:footnote>
  <w:footnote w:id="13">
    <w:p w14:paraId="1B9EAD17" w14:textId="4B141E25" w:rsidR="004B667C" w:rsidRDefault="004B667C" w:rsidP="00F07E8D">
      <w:pPr>
        <w:pStyle w:val="FootnoteText"/>
        <w:ind w:firstLine="720"/>
      </w:pPr>
      <w:r w:rsidRPr="008F4D6D">
        <w:rPr>
          <w:rStyle w:val="FootnoteReference"/>
          <w:rFonts w:ascii="Times New Roman" w:hAnsi="Times New Roman" w:cs="Times New Roman"/>
        </w:rPr>
        <w:footnoteRef/>
      </w:r>
      <w:r w:rsidRPr="008F4D6D">
        <w:rPr>
          <w:rFonts w:ascii="Times New Roman" w:hAnsi="Times New Roman" w:cs="Times New Roman"/>
        </w:rPr>
        <w:t xml:space="preserve">  </w:t>
      </w:r>
      <w:r w:rsidR="005D748F" w:rsidRPr="008F4D6D">
        <w:rPr>
          <w:rFonts w:ascii="Times New Roman" w:hAnsi="Times New Roman" w:cs="Times New Roman"/>
        </w:rPr>
        <w:t>TIEC</w:t>
      </w:r>
      <w:r w:rsidR="00A43271" w:rsidRPr="008F4D6D">
        <w:rPr>
          <w:rFonts w:ascii="Times New Roman" w:hAnsi="Times New Roman" w:cs="Times New Roman"/>
        </w:rPr>
        <w:t>’s</w:t>
      </w:r>
      <w:r w:rsidR="005D748F" w:rsidRPr="008F4D6D">
        <w:rPr>
          <w:rFonts w:ascii="Times New Roman" w:hAnsi="Times New Roman" w:cs="Times New Roman"/>
        </w:rPr>
        <w:t xml:space="preserve"> Comments at 10</w:t>
      </w:r>
      <w:r w:rsidR="00F07E8D" w:rsidRPr="008F4D6D">
        <w:rPr>
          <w:rFonts w:ascii="Times New Roman" w:hAnsi="Times New Roman" w:cs="Times New Roman"/>
        </w:rPr>
        <w:t>, TIEC’s proposed subsection (g)(6)</w:t>
      </w:r>
      <w:r w:rsidR="00510EC6">
        <w:rPr>
          <w:rFonts w:ascii="Times New Roman" w:hAnsi="Times New Roman" w:cs="Times New Roman"/>
        </w:rPr>
        <w:t>.</w:t>
      </w:r>
      <w:r w:rsidR="005D748F">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FC455B"/>
    <w:multiLevelType w:val="hybridMultilevel"/>
    <w:tmpl w:val="FFC02F50"/>
    <w:lvl w:ilvl="0" w:tplc="B86EE5FE">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11B7316"/>
    <w:multiLevelType w:val="hybridMultilevel"/>
    <w:tmpl w:val="DC8C62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5814AE9"/>
    <w:multiLevelType w:val="hybridMultilevel"/>
    <w:tmpl w:val="EE7EE4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4A"/>
    <w:rsid w:val="0000056E"/>
    <w:rsid w:val="00000F82"/>
    <w:rsid w:val="0000114C"/>
    <w:rsid w:val="00003E78"/>
    <w:rsid w:val="00004D14"/>
    <w:rsid w:val="000152B2"/>
    <w:rsid w:val="000206C0"/>
    <w:rsid w:val="00027214"/>
    <w:rsid w:val="00035173"/>
    <w:rsid w:val="000418D8"/>
    <w:rsid w:val="00047228"/>
    <w:rsid w:val="00072182"/>
    <w:rsid w:val="000779A5"/>
    <w:rsid w:val="000817BF"/>
    <w:rsid w:val="00084EF8"/>
    <w:rsid w:val="000B0950"/>
    <w:rsid w:val="000B15EE"/>
    <w:rsid w:val="000B1996"/>
    <w:rsid w:val="000B1B03"/>
    <w:rsid w:val="000C49A9"/>
    <w:rsid w:val="000D05AC"/>
    <w:rsid w:val="000D2633"/>
    <w:rsid w:val="000D39E9"/>
    <w:rsid w:val="000E0CD7"/>
    <w:rsid w:val="000F02F0"/>
    <w:rsid w:val="000F4DCF"/>
    <w:rsid w:val="000F75FF"/>
    <w:rsid w:val="001066C0"/>
    <w:rsid w:val="001151EF"/>
    <w:rsid w:val="001229FC"/>
    <w:rsid w:val="00131B83"/>
    <w:rsid w:val="001334B1"/>
    <w:rsid w:val="001349D2"/>
    <w:rsid w:val="00141C90"/>
    <w:rsid w:val="001523FA"/>
    <w:rsid w:val="00152F05"/>
    <w:rsid w:val="001552AD"/>
    <w:rsid w:val="00172E6B"/>
    <w:rsid w:val="001A12AA"/>
    <w:rsid w:val="001A337B"/>
    <w:rsid w:val="001A5761"/>
    <w:rsid w:val="001A5D11"/>
    <w:rsid w:val="001A7A5C"/>
    <w:rsid w:val="001B0C7F"/>
    <w:rsid w:val="001C5ABD"/>
    <w:rsid w:val="001E23C8"/>
    <w:rsid w:val="001F341A"/>
    <w:rsid w:val="00202CBE"/>
    <w:rsid w:val="0020404A"/>
    <w:rsid w:val="00206A68"/>
    <w:rsid w:val="00215B4A"/>
    <w:rsid w:val="002166ED"/>
    <w:rsid w:val="00240624"/>
    <w:rsid w:val="00250128"/>
    <w:rsid w:val="00252AB3"/>
    <w:rsid w:val="002940C8"/>
    <w:rsid w:val="002A45C9"/>
    <w:rsid w:val="002A7B33"/>
    <w:rsid w:val="002B5EF5"/>
    <w:rsid w:val="002B6699"/>
    <w:rsid w:val="002B6D44"/>
    <w:rsid w:val="002C3CC7"/>
    <w:rsid w:val="002C619D"/>
    <w:rsid w:val="002D39EB"/>
    <w:rsid w:val="002D4F53"/>
    <w:rsid w:val="002D78FD"/>
    <w:rsid w:val="002F0B9B"/>
    <w:rsid w:val="002F0E24"/>
    <w:rsid w:val="002F134F"/>
    <w:rsid w:val="0030083C"/>
    <w:rsid w:val="00300C44"/>
    <w:rsid w:val="00305619"/>
    <w:rsid w:val="00311A14"/>
    <w:rsid w:val="00315A47"/>
    <w:rsid w:val="00332C98"/>
    <w:rsid w:val="00333687"/>
    <w:rsid w:val="00337A7A"/>
    <w:rsid w:val="00355DB2"/>
    <w:rsid w:val="0036053C"/>
    <w:rsid w:val="00360A04"/>
    <w:rsid w:val="00367A4A"/>
    <w:rsid w:val="003904AC"/>
    <w:rsid w:val="00390DBD"/>
    <w:rsid w:val="00392977"/>
    <w:rsid w:val="00394EB7"/>
    <w:rsid w:val="003A1271"/>
    <w:rsid w:val="003A58A4"/>
    <w:rsid w:val="003B1005"/>
    <w:rsid w:val="003B22EF"/>
    <w:rsid w:val="003D03F4"/>
    <w:rsid w:val="00405C2D"/>
    <w:rsid w:val="00414502"/>
    <w:rsid w:val="004230F1"/>
    <w:rsid w:val="00433D84"/>
    <w:rsid w:val="00476D13"/>
    <w:rsid w:val="00496012"/>
    <w:rsid w:val="004A133E"/>
    <w:rsid w:val="004A761E"/>
    <w:rsid w:val="004B1F1C"/>
    <w:rsid w:val="004B667C"/>
    <w:rsid w:val="004D45AD"/>
    <w:rsid w:val="004E00BA"/>
    <w:rsid w:val="004E3499"/>
    <w:rsid w:val="004E768F"/>
    <w:rsid w:val="004F070D"/>
    <w:rsid w:val="0050667B"/>
    <w:rsid w:val="00510EC6"/>
    <w:rsid w:val="00520ABB"/>
    <w:rsid w:val="005244AB"/>
    <w:rsid w:val="005259B3"/>
    <w:rsid w:val="00525DA2"/>
    <w:rsid w:val="00537303"/>
    <w:rsid w:val="00561504"/>
    <w:rsid w:val="00587B69"/>
    <w:rsid w:val="00587D17"/>
    <w:rsid w:val="005B5BD9"/>
    <w:rsid w:val="005C01BF"/>
    <w:rsid w:val="005C31C3"/>
    <w:rsid w:val="005D0F17"/>
    <w:rsid w:val="005D748F"/>
    <w:rsid w:val="005E33FE"/>
    <w:rsid w:val="005E5645"/>
    <w:rsid w:val="005F3A1B"/>
    <w:rsid w:val="00612D4E"/>
    <w:rsid w:val="00614B10"/>
    <w:rsid w:val="0064055C"/>
    <w:rsid w:val="00647996"/>
    <w:rsid w:val="00654455"/>
    <w:rsid w:val="0065750F"/>
    <w:rsid w:val="00665FF3"/>
    <w:rsid w:val="00686B8B"/>
    <w:rsid w:val="0068737C"/>
    <w:rsid w:val="00692AF3"/>
    <w:rsid w:val="00695BD0"/>
    <w:rsid w:val="006A47D7"/>
    <w:rsid w:val="006B3DAE"/>
    <w:rsid w:val="006D3CA3"/>
    <w:rsid w:val="006E269A"/>
    <w:rsid w:val="006F4715"/>
    <w:rsid w:val="00714DBD"/>
    <w:rsid w:val="007207AC"/>
    <w:rsid w:val="00721AD5"/>
    <w:rsid w:val="00731F81"/>
    <w:rsid w:val="007406D2"/>
    <w:rsid w:val="00742D2A"/>
    <w:rsid w:val="00744A9C"/>
    <w:rsid w:val="00750A91"/>
    <w:rsid w:val="007611ED"/>
    <w:rsid w:val="00766D97"/>
    <w:rsid w:val="00767109"/>
    <w:rsid w:val="00767A0B"/>
    <w:rsid w:val="00777C21"/>
    <w:rsid w:val="0079387C"/>
    <w:rsid w:val="007A31F2"/>
    <w:rsid w:val="007D1831"/>
    <w:rsid w:val="007D65E3"/>
    <w:rsid w:val="007E1761"/>
    <w:rsid w:val="007E3B0B"/>
    <w:rsid w:val="007E4F04"/>
    <w:rsid w:val="00801A5F"/>
    <w:rsid w:val="00804FFA"/>
    <w:rsid w:val="008161A4"/>
    <w:rsid w:val="00830D7B"/>
    <w:rsid w:val="008538BB"/>
    <w:rsid w:val="0086259E"/>
    <w:rsid w:val="008735C3"/>
    <w:rsid w:val="00876A97"/>
    <w:rsid w:val="008A1F0F"/>
    <w:rsid w:val="008A4041"/>
    <w:rsid w:val="008B3525"/>
    <w:rsid w:val="008B38E2"/>
    <w:rsid w:val="008B5EFE"/>
    <w:rsid w:val="008C3114"/>
    <w:rsid w:val="008D0FA6"/>
    <w:rsid w:val="008D19C9"/>
    <w:rsid w:val="008F4D6D"/>
    <w:rsid w:val="008F5CCD"/>
    <w:rsid w:val="008F662F"/>
    <w:rsid w:val="0090215A"/>
    <w:rsid w:val="009046F7"/>
    <w:rsid w:val="00905961"/>
    <w:rsid w:val="0094000F"/>
    <w:rsid w:val="009552CC"/>
    <w:rsid w:val="00961E4E"/>
    <w:rsid w:val="00975008"/>
    <w:rsid w:val="009826DE"/>
    <w:rsid w:val="00987181"/>
    <w:rsid w:val="00995321"/>
    <w:rsid w:val="009A731D"/>
    <w:rsid w:val="009B1906"/>
    <w:rsid w:val="009B27C1"/>
    <w:rsid w:val="009C1AF4"/>
    <w:rsid w:val="009C24B5"/>
    <w:rsid w:val="009C5CD4"/>
    <w:rsid w:val="009D50F1"/>
    <w:rsid w:val="009D55C8"/>
    <w:rsid w:val="009E1253"/>
    <w:rsid w:val="009E28DC"/>
    <w:rsid w:val="009E5A22"/>
    <w:rsid w:val="009E5CC9"/>
    <w:rsid w:val="009F60C2"/>
    <w:rsid w:val="00A252AB"/>
    <w:rsid w:val="00A36599"/>
    <w:rsid w:val="00A40653"/>
    <w:rsid w:val="00A43271"/>
    <w:rsid w:val="00A45148"/>
    <w:rsid w:val="00A61DB6"/>
    <w:rsid w:val="00A6685A"/>
    <w:rsid w:val="00A673C5"/>
    <w:rsid w:val="00AB54F1"/>
    <w:rsid w:val="00AC0106"/>
    <w:rsid w:val="00AC4E1D"/>
    <w:rsid w:val="00AF6337"/>
    <w:rsid w:val="00B0330A"/>
    <w:rsid w:val="00B47BDD"/>
    <w:rsid w:val="00B606E6"/>
    <w:rsid w:val="00B66CA6"/>
    <w:rsid w:val="00B91D90"/>
    <w:rsid w:val="00BB0D7D"/>
    <w:rsid w:val="00BB4286"/>
    <w:rsid w:val="00BC5A17"/>
    <w:rsid w:val="00BC70DC"/>
    <w:rsid w:val="00BE201C"/>
    <w:rsid w:val="00BE7044"/>
    <w:rsid w:val="00BF4FEF"/>
    <w:rsid w:val="00C0554D"/>
    <w:rsid w:val="00C12FF8"/>
    <w:rsid w:val="00C23C27"/>
    <w:rsid w:val="00C33DF5"/>
    <w:rsid w:val="00C41826"/>
    <w:rsid w:val="00C44F8B"/>
    <w:rsid w:val="00C56348"/>
    <w:rsid w:val="00C66880"/>
    <w:rsid w:val="00C737BF"/>
    <w:rsid w:val="00C816F9"/>
    <w:rsid w:val="00C956ED"/>
    <w:rsid w:val="00CA0775"/>
    <w:rsid w:val="00CA1576"/>
    <w:rsid w:val="00CA71AB"/>
    <w:rsid w:val="00CD66B5"/>
    <w:rsid w:val="00CF62D5"/>
    <w:rsid w:val="00D03A13"/>
    <w:rsid w:val="00D47121"/>
    <w:rsid w:val="00D50584"/>
    <w:rsid w:val="00D627CB"/>
    <w:rsid w:val="00D82335"/>
    <w:rsid w:val="00D85AAF"/>
    <w:rsid w:val="00D956E0"/>
    <w:rsid w:val="00DA689A"/>
    <w:rsid w:val="00DA7E17"/>
    <w:rsid w:val="00DC0213"/>
    <w:rsid w:val="00DC7E6B"/>
    <w:rsid w:val="00DD5329"/>
    <w:rsid w:val="00DD655B"/>
    <w:rsid w:val="00DE0294"/>
    <w:rsid w:val="00DE6B85"/>
    <w:rsid w:val="00DE7D9E"/>
    <w:rsid w:val="00DF0C7B"/>
    <w:rsid w:val="00DF0F2D"/>
    <w:rsid w:val="00DF4C50"/>
    <w:rsid w:val="00E03350"/>
    <w:rsid w:val="00E312D2"/>
    <w:rsid w:val="00E3337F"/>
    <w:rsid w:val="00E44875"/>
    <w:rsid w:val="00E57F24"/>
    <w:rsid w:val="00E63B4D"/>
    <w:rsid w:val="00E64D64"/>
    <w:rsid w:val="00E66882"/>
    <w:rsid w:val="00E743B5"/>
    <w:rsid w:val="00E8236D"/>
    <w:rsid w:val="00E8499C"/>
    <w:rsid w:val="00E93F2D"/>
    <w:rsid w:val="00EA059A"/>
    <w:rsid w:val="00EA1653"/>
    <w:rsid w:val="00EB182F"/>
    <w:rsid w:val="00EC1AF2"/>
    <w:rsid w:val="00EC3C5B"/>
    <w:rsid w:val="00ED1C97"/>
    <w:rsid w:val="00ED2BD2"/>
    <w:rsid w:val="00ED4BB9"/>
    <w:rsid w:val="00EE667F"/>
    <w:rsid w:val="00EF1D0A"/>
    <w:rsid w:val="00EF5662"/>
    <w:rsid w:val="00F07E8D"/>
    <w:rsid w:val="00F51ACD"/>
    <w:rsid w:val="00F52C55"/>
    <w:rsid w:val="00F52EE1"/>
    <w:rsid w:val="00F538E1"/>
    <w:rsid w:val="00F631A0"/>
    <w:rsid w:val="00F66AAF"/>
    <w:rsid w:val="00F908F5"/>
    <w:rsid w:val="00F97227"/>
    <w:rsid w:val="00FA3095"/>
    <w:rsid w:val="00FA45FA"/>
    <w:rsid w:val="00FA7590"/>
    <w:rsid w:val="00FC151A"/>
    <w:rsid w:val="00FC39AF"/>
    <w:rsid w:val="00FD0B24"/>
    <w:rsid w:val="00FD0BBC"/>
    <w:rsid w:val="00FD6D44"/>
    <w:rsid w:val="00FE4817"/>
    <w:rsid w:val="00FF12B0"/>
    <w:rsid w:val="00FF57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36C17"/>
  <w15:chartTrackingRefBased/>
  <w15:docId w15:val="{6A38DC61-8803-4AE2-BFEB-DACB8F1C7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19C9"/>
    <w:pPr>
      <w:ind w:left="720"/>
      <w:contextualSpacing/>
    </w:pPr>
  </w:style>
  <w:style w:type="paragraph" w:styleId="Title">
    <w:name w:val="Title"/>
    <w:basedOn w:val="Normal"/>
    <w:link w:val="TitleChar"/>
    <w:qFormat/>
    <w:rsid w:val="00C56348"/>
    <w:pPr>
      <w:spacing w:after="0" w:line="240" w:lineRule="auto"/>
      <w:jc w:val="center"/>
    </w:pPr>
    <w:rPr>
      <w:rFonts w:ascii="Times New Roman" w:eastAsia="Times New Roman" w:hAnsi="Times New Roman" w:cs="Times New Roman"/>
      <w:sz w:val="24"/>
      <w:szCs w:val="20"/>
    </w:rPr>
  </w:style>
  <w:style w:type="character" w:customStyle="1" w:styleId="TitleChar">
    <w:name w:val="Title Char"/>
    <w:basedOn w:val="DefaultParagraphFont"/>
    <w:link w:val="Title"/>
    <w:rsid w:val="00C56348"/>
    <w:rPr>
      <w:rFonts w:ascii="Times New Roman" w:eastAsia="Times New Roman" w:hAnsi="Times New Roman" w:cs="Times New Roman"/>
      <w:sz w:val="24"/>
      <w:szCs w:val="20"/>
    </w:rPr>
  </w:style>
  <w:style w:type="paragraph" w:styleId="Caption">
    <w:name w:val="caption"/>
    <w:basedOn w:val="Normal"/>
    <w:next w:val="Normal"/>
    <w:qFormat/>
    <w:rsid w:val="00C56348"/>
    <w:pPr>
      <w:spacing w:after="0" w:line="240" w:lineRule="auto"/>
      <w:jc w:val="center"/>
    </w:pPr>
    <w:rPr>
      <w:rFonts w:ascii="Times New Roman" w:eastAsia="Times New Roman" w:hAnsi="Times New Roman" w:cs="Times New Roman"/>
      <w:b/>
      <w:sz w:val="24"/>
      <w:szCs w:val="20"/>
    </w:rPr>
  </w:style>
  <w:style w:type="table" w:styleId="TableGrid">
    <w:name w:val="Table Grid"/>
    <w:basedOn w:val="TableNormal"/>
    <w:uiPriority w:val="59"/>
    <w:rsid w:val="00C5634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F4F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4FEF"/>
  </w:style>
  <w:style w:type="paragraph" w:styleId="Footer">
    <w:name w:val="footer"/>
    <w:basedOn w:val="Normal"/>
    <w:link w:val="FooterChar"/>
    <w:uiPriority w:val="99"/>
    <w:unhideWhenUsed/>
    <w:rsid w:val="00BF4F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4FEF"/>
  </w:style>
  <w:style w:type="paragraph" w:styleId="BodyText">
    <w:name w:val="Body Text"/>
    <w:basedOn w:val="Normal"/>
    <w:link w:val="BodyTextChar"/>
    <w:rsid w:val="00390DBD"/>
    <w:pPr>
      <w:spacing w:after="0" w:line="480" w:lineRule="auto"/>
      <w:jc w:val="both"/>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390DBD"/>
    <w:rPr>
      <w:rFonts w:ascii="Times New Roman" w:eastAsia="Times New Roman" w:hAnsi="Times New Roman" w:cs="Times New Roman"/>
      <w:sz w:val="24"/>
      <w:szCs w:val="20"/>
    </w:rPr>
  </w:style>
  <w:style w:type="character" w:styleId="Hyperlink">
    <w:name w:val="Hyperlink"/>
    <w:basedOn w:val="DefaultParagraphFont"/>
    <w:uiPriority w:val="99"/>
    <w:unhideWhenUsed/>
    <w:rsid w:val="00FC39AF"/>
    <w:rPr>
      <w:color w:val="0563C1" w:themeColor="hyperlink"/>
      <w:u w:val="single"/>
    </w:rPr>
  </w:style>
  <w:style w:type="character" w:styleId="UnresolvedMention">
    <w:name w:val="Unresolved Mention"/>
    <w:basedOn w:val="DefaultParagraphFont"/>
    <w:uiPriority w:val="99"/>
    <w:semiHidden/>
    <w:unhideWhenUsed/>
    <w:rsid w:val="00FC39AF"/>
    <w:rPr>
      <w:color w:val="605E5C"/>
      <w:shd w:val="clear" w:color="auto" w:fill="E1DFDD"/>
    </w:rPr>
  </w:style>
  <w:style w:type="character" w:styleId="CommentReference">
    <w:name w:val="annotation reference"/>
    <w:basedOn w:val="DefaultParagraphFont"/>
    <w:uiPriority w:val="99"/>
    <w:semiHidden/>
    <w:unhideWhenUsed/>
    <w:rsid w:val="003A1271"/>
    <w:rPr>
      <w:sz w:val="16"/>
      <w:szCs w:val="16"/>
    </w:rPr>
  </w:style>
  <w:style w:type="paragraph" w:styleId="CommentText">
    <w:name w:val="annotation text"/>
    <w:basedOn w:val="Normal"/>
    <w:link w:val="CommentTextChar"/>
    <w:uiPriority w:val="99"/>
    <w:semiHidden/>
    <w:unhideWhenUsed/>
    <w:rsid w:val="003A1271"/>
    <w:pPr>
      <w:spacing w:line="240" w:lineRule="auto"/>
    </w:pPr>
    <w:rPr>
      <w:sz w:val="20"/>
      <w:szCs w:val="20"/>
    </w:rPr>
  </w:style>
  <w:style w:type="character" w:customStyle="1" w:styleId="CommentTextChar">
    <w:name w:val="Comment Text Char"/>
    <w:basedOn w:val="DefaultParagraphFont"/>
    <w:link w:val="CommentText"/>
    <w:uiPriority w:val="99"/>
    <w:semiHidden/>
    <w:rsid w:val="003A1271"/>
    <w:rPr>
      <w:sz w:val="20"/>
      <w:szCs w:val="20"/>
    </w:rPr>
  </w:style>
  <w:style w:type="paragraph" w:styleId="CommentSubject">
    <w:name w:val="annotation subject"/>
    <w:basedOn w:val="CommentText"/>
    <w:next w:val="CommentText"/>
    <w:link w:val="CommentSubjectChar"/>
    <w:uiPriority w:val="99"/>
    <w:semiHidden/>
    <w:unhideWhenUsed/>
    <w:rsid w:val="003A1271"/>
    <w:rPr>
      <w:b/>
      <w:bCs/>
    </w:rPr>
  </w:style>
  <w:style w:type="character" w:customStyle="1" w:styleId="CommentSubjectChar">
    <w:name w:val="Comment Subject Char"/>
    <w:basedOn w:val="CommentTextChar"/>
    <w:link w:val="CommentSubject"/>
    <w:uiPriority w:val="99"/>
    <w:semiHidden/>
    <w:rsid w:val="003A1271"/>
    <w:rPr>
      <w:b/>
      <w:bCs/>
      <w:sz w:val="20"/>
      <w:szCs w:val="20"/>
    </w:rPr>
  </w:style>
  <w:style w:type="paragraph" w:styleId="BalloonText">
    <w:name w:val="Balloon Text"/>
    <w:basedOn w:val="Normal"/>
    <w:link w:val="BalloonTextChar"/>
    <w:uiPriority w:val="99"/>
    <w:semiHidden/>
    <w:unhideWhenUsed/>
    <w:rsid w:val="003A127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1271"/>
    <w:rPr>
      <w:rFonts w:ascii="Segoe UI" w:hAnsi="Segoe UI" w:cs="Segoe UI"/>
      <w:sz w:val="18"/>
      <w:szCs w:val="18"/>
    </w:rPr>
  </w:style>
  <w:style w:type="paragraph" w:styleId="FootnoteText">
    <w:name w:val="footnote text"/>
    <w:basedOn w:val="Normal"/>
    <w:link w:val="FootnoteTextChar"/>
    <w:uiPriority w:val="99"/>
    <w:semiHidden/>
    <w:unhideWhenUsed/>
    <w:rsid w:val="003A127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A1271"/>
    <w:rPr>
      <w:sz w:val="20"/>
      <w:szCs w:val="20"/>
    </w:rPr>
  </w:style>
  <w:style w:type="character" w:styleId="FootnoteReference">
    <w:name w:val="footnote reference"/>
    <w:basedOn w:val="DefaultParagraphFont"/>
    <w:uiPriority w:val="99"/>
    <w:semiHidden/>
    <w:unhideWhenUsed/>
    <w:rsid w:val="003A1271"/>
    <w:rPr>
      <w:vertAlign w:val="superscript"/>
    </w:rPr>
  </w:style>
  <w:style w:type="paragraph" w:styleId="Revision">
    <w:name w:val="Revision"/>
    <w:hidden/>
    <w:uiPriority w:val="99"/>
    <w:semiHidden/>
    <w:rsid w:val="00510EC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378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bill.barnes@nr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965EF-B703-4D26-BAD4-A81789E3A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1523</Words>
  <Characters>8684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Barnes, Bill</dc:creator>
  <cp:keywords/>
  <dc:description/>
  <cp:lastModifiedBy>Porter, Lisa</cp:lastModifiedBy>
  <cp:revision>3</cp:revision>
  <cp:lastPrinted>2021-03-13T21:03:00Z</cp:lastPrinted>
  <dcterms:created xsi:type="dcterms:W3CDTF">2021-03-26T17:34:00Z</dcterms:created>
  <dcterms:modified xsi:type="dcterms:W3CDTF">2021-03-26T17:35:00Z</dcterms:modified>
</cp:coreProperties>
</file>